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2"/>
        <w:gridCol w:w="4917"/>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30CAFB18" w:rsidR="00333FAA" w:rsidRPr="005E3A10" w:rsidRDefault="00C529E7" w:rsidP="00A53B04">
            <w:pPr>
              <w:rPr>
                <w:rFonts w:cs="Arial"/>
                <w:szCs w:val="24"/>
              </w:rPr>
            </w:pPr>
            <w:r>
              <w:rPr>
                <w:rFonts w:cs="Arial"/>
                <w:szCs w:val="24"/>
              </w:rPr>
              <w:t>9</w:t>
            </w:r>
            <w:r w:rsidRPr="00C529E7">
              <w:rPr>
                <w:rFonts w:cs="Arial"/>
                <w:szCs w:val="24"/>
                <w:vertAlign w:val="superscript"/>
              </w:rPr>
              <w:t>th</w:t>
            </w:r>
            <w:r>
              <w:rPr>
                <w:rFonts w:cs="Arial"/>
                <w:szCs w:val="24"/>
              </w:rPr>
              <w:t xml:space="preserve"> December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5744E4E7" w14:textId="77777777" w:rsidR="00D1380B" w:rsidRPr="00D1380B" w:rsidRDefault="00D1380B" w:rsidP="00D1380B">
            <w:pPr>
              <w:rPr>
                <w:rFonts w:ascii="Calibri" w:hAnsi="Calibri"/>
                <w:sz w:val="22"/>
                <w:szCs w:val="22"/>
              </w:rPr>
            </w:pPr>
            <w:bookmarkStart w:id="0" w:name="_GoBack"/>
            <w:r w:rsidRPr="00D1380B">
              <w:t>Application to the Living Wage Foundation to become an accredited authority</w:t>
            </w:r>
            <w:bookmarkEnd w:id="0"/>
          </w:p>
          <w:p w14:paraId="6D8FB2C1" w14:textId="0B29A252" w:rsidR="00333FAA" w:rsidRPr="005E3A10" w:rsidRDefault="00333FAA" w:rsidP="00A53B04">
            <w:pPr>
              <w:rPr>
                <w:rFonts w:cs="Arial"/>
                <w:szCs w:val="24"/>
              </w:rPr>
            </w:pPr>
          </w:p>
        </w:tc>
      </w:tr>
      <w:tr w:rsidR="00333FAA" w14:paraId="32449166" w14:textId="77777777" w:rsidTr="00EB3CF0">
        <w:tc>
          <w:tcPr>
            <w:tcW w:w="3456" w:type="dxa"/>
          </w:tcPr>
          <w:p w14:paraId="17ECA8FA" w14:textId="0C1D73D9"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74B7A375" w14:textId="35810690" w:rsidR="00EA19EE" w:rsidRPr="00F40124" w:rsidRDefault="001C7E35" w:rsidP="00F40124">
            <w:pPr>
              <w:pStyle w:val="Infotext"/>
              <w:rPr>
                <w:rFonts w:cs="Arial"/>
                <w:sz w:val="24"/>
                <w:szCs w:val="24"/>
              </w:rPr>
            </w:pPr>
            <w:r w:rsidRPr="005E3A10">
              <w:rPr>
                <w:rFonts w:cs="Arial"/>
                <w:sz w:val="24"/>
                <w:szCs w:val="24"/>
              </w:rPr>
              <w:t>Yes</w:t>
            </w:r>
            <w:r w:rsidR="00A244BF">
              <w:rPr>
                <w:rFonts w:cs="Arial"/>
                <w:sz w:val="24"/>
                <w:szCs w:val="24"/>
              </w:rPr>
              <w:t>- t</w:t>
            </w:r>
            <w:r w:rsidR="00595EEA" w:rsidRPr="00A244BF">
              <w:rPr>
                <w:rFonts w:cs="Arial"/>
                <w:sz w:val="24"/>
                <w:szCs w:val="24"/>
              </w:rPr>
              <w:t xml:space="preserve">he </w:t>
            </w:r>
            <w:r w:rsidR="007A70EA" w:rsidRPr="00A244BF">
              <w:rPr>
                <w:rFonts w:cs="Arial"/>
                <w:sz w:val="24"/>
                <w:szCs w:val="24"/>
              </w:rPr>
              <w:t xml:space="preserve">recommendations set out in this report will </w:t>
            </w:r>
            <w:r w:rsidR="00EA19EE" w:rsidRPr="00A244BF">
              <w:rPr>
                <w:rFonts w:cs="Arial"/>
                <w:sz w:val="24"/>
                <w:szCs w:val="24"/>
              </w:rPr>
              <w:t>affect more than one ward.</w:t>
            </w:r>
          </w:p>
          <w:p w14:paraId="4AE49827" w14:textId="4406B3DE" w:rsidR="001C7E35" w:rsidRPr="00A244BF" w:rsidRDefault="001C7E35" w:rsidP="001C7E35">
            <w:pPr>
              <w:pStyle w:val="Infotext"/>
              <w:rPr>
                <w:rFonts w:cs="Arial"/>
                <w:sz w:val="24"/>
                <w:szCs w:val="24"/>
              </w:rPr>
            </w:pPr>
          </w:p>
          <w:p w14:paraId="3EADF2B3" w14:textId="77777777" w:rsidR="00333FAA" w:rsidRPr="005E3A10" w:rsidRDefault="00333FAA" w:rsidP="00A53B04">
            <w:pPr>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D69DFB2" w14:textId="28E7A32A" w:rsidR="00B05F10" w:rsidRDefault="00B05F10" w:rsidP="00D835CF">
            <w:pPr>
              <w:pStyle w:val="Infotext"/>
              <w:rPr>
                <w:rFonts w:cs="Arial"/>
                <w:sz w:val="24"/>
                <w:szCs w:val="24"/>
              </w:rPr>
            </w:pPr>
            <w:r>
              <w:rPr>
                <w:rFonts w:cs="Arial"/>
                <w:sz w:val="24"/>
                <w:szCs w:val="24"/>
              </w:rPr>
              <w:t>Dawn Calvert</w:t>
            </w:r>
            <w:r w:rsidR="00D648B7">
              <w:rPr>
                <w:rFonts w:cs="Arial"/>
                <w:sz w:val="24"/>
                <w:szCs w:val="24"/>
              </w:rPr>
              <w:t xml:space="preserve"> - </w:t>
            </w:r>
            <w:r>
              <w:rPr>
                <w:rFonts w:cs="Arial"/>
                <w:sz w:val="24"/>
                <w:szCs w:val="24"/>
              </w:rPr>
              <w:t>Director of Finance</w:t>
            </w:r>
            <w:r w:rsidR="00470AB7">
              <w:rPr>
                <w:rFonts w:cs="Arial"/>
                <w:sz w:val="24"/>
                <w:szCs w:val="24"/>
              </w:rPr>
              <w:t xml:space="preserve"> </w:t>
            </w:r>
            <w:r w:rsidR="00730A21">
              <w:rPr>
                <w:rFonts w:cs="Arial"/>
                <w:sz w:val="24"/>
                <w:szCs w:val="24"/>
              </w:rPr>
              <w:t>&amp; Assurance</w:t>
            </w:r>
          </w:p>
          <w:p w14:paraId="649EB528" w14:textId="50135DD3" w:rsidR="001C7E35" w:rsidRPr="005E3A10" w:rsidRDefault="001C7E35" w:rsidP="00D835CF">
            <w:pPr>
              <w:pStyle w:val="Infotext"/>
              <w:rPr>
                <w:rFonts w:cs="Arial"/>
                <w:sz w:val="24"/>
                <w:szCs w:val="24"/>
              </w:rPr>
            </w:pP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01E07FCE" w14:textId="0E372762" w:rsidR="00C06489" w:rsidRPr="005E3A10" w:rsidRDefault="00B6712A" w:rsidP="00D835CF">
            <w:pPr>
              <w:pStyle w:val="Infotext"/>
              <w:rPr>
                <w:rFonts w:cs="Arial"/>
                <w:sz w:val="24"/>
                <w:szCs w:val="24"/>
              </w:rPr>
            </w:pPr>
            <w:r>
              <w:rPr>
                <w:rFonts w:cs="Arial"/>
                <w:sz w:val="24"/>
                <w:szCs w:val="24"/>
              </w:rPr>
              <w:t>C</w:t>
            </w:r>
            <w:r w:rsidR="00C37B78">
              <w:rPr>
                <w:rFonts w:cs="Arial"/>
                <w:sz w:val="24"/>
                <w:szCs w:val="24"/>
              </w:rPr>
              <w:t>ounci</w:t>
            </w:r>
            <w:r>
              <w:rPr>
                <w:rFonts w:cs="Arial"/>
                <w:sz w:val="24"/>
                <w:szCs w:val="24"/>
              </w:rPr>
              <w:t>ll</w:t>
            </w:r>
            <w:r w:rsidR="001B64BF">
              <w:rPr>
                <w:rFonts w:cs="Arial"/>
                <w:sz w:val="24"/>
                <w:szCs w:val="24"/>
              </w:rPr>
              <w:t>o</w:t>
            </w:r>
            <w:r>
              <w:rPr>
                <w:rFonts w:cs="Arial"/>
                <w:sz w:val="24"/>
                <w:szCs w:val="24"/>
              </w:rPr>
              <w:t>r Natasha Proctor</w:t>
            </w:r>
            <w:r w:rsidR="00D648B7">
              <w:rPr>
                <w:rFonts w:cs="Arial"/>
                <w:sz w:val="24"/>
                <w:szCs w:val="24"/>
              </w:rPr>
              <w:t xml:space="preserve"> - </w:t>
            </w:r>
            <w:r w:rsidR="00C06489">
              <w:rPr>
                <w:rFonts w:cs="Arial"/>
                <w:sz w:val="24"/>
                <w:szCs w:val="24"/>
              </w:rPr>
              <w:t>Deputy Leader and Portfolio Holder for Finance and Resources</w:t>
            </w:r>
          </w:p>
          <w:p w14:paraId="34FEDFF9" w14:textId="57B786AA" w:rsidR="001C7E35" w:rsidRDefault="001C7E35" w:rsidP="00D835CF">
            <w:pPr>
              <w:pStyle w:val="Infotext"/>
              <w:rPr>
                <w:rFonts w:cs="Arial"/>
                <w:color w:val="FF0000"/>
                <w:sz w:val="24"/>
                <w:szCs w:val="24"/>
              </w:rPr>
            </w:pPr>
          </w:p>
          <w:p w14:paraId="39A9A01A" w14:textId="22AF2A84" w:rsidR="00C06489" w:rsidRPr="005E3A10" w:rsidRDefault="00C06489"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243EAF72" w:rsidR="001C7E35" w:rsidRPr="005E3A10" w:rsidRDefault="00B96621" w:rsidP="00D835CF">
            <w:pPr>
              <w:pStyle w:val="Infotext"/>
              <w:rPr>
                <w:rFonts w:cs="Arial"/>
                <w:sz w:val="24"/>
                <w:szCs w:val="24"/>
              </w:rPr>
            </w:pPr>
            <w:r>
              <w:rPr>
                <w:rFonts w:cs="Arial"/>
                <w:sz w:val="24"/>
                <w:szCs w:val="24"/>
              </w:rPr>
              <w:t xml:space="preserve">Yes – Appendix 1 to the report </w:t>
            </w:r>
            <w:r w:rsidR="00983480">
              <w:rPr>
                <w:rFonts w:cs="Arial"/>
                <w:sz w:val="24"/>
                <w:szCs w:val="24"/>
              </w:rPr>
              <w:t xml:space="preserve">contains exempt information under paragraph 3 </w:t>
            </w:r>
            <w:r w:rsidR="008A1A2B">
              <w:rPr>
                <w:rFonts w:cs="Arial"/>
                <w:sz w:val="24"/>
                <w:szCs w:val="24"/>
              </w:rPr>
              <w:t>relating</w:t>
            </w:r>
            <w:r w:rsidR="001A54B4">
              <w:rPr>
                <w:rFonts w:cs="Arial"/>
                <w:sz w:val="24"/>
                <w:szCs w:val="24"/>
              </w:rPr>
              <w:t xml:space="preserve"> to the financial or business affairs o</w:t>
            </w:r>
            <w:r w:rsidR="008A1A2B">
              <w:rPr>
                <w:rFonts w:cs="Arial"/>
                <w:sz w:val="24"/>
                <w:szCs w:val="24"/>
              </w:rPr>
              <w:t>f the Council</w:t>
            </w:r>
            <w:r w:rsidR="00A21ACF">
              <w:rPr>
                <w:rFonts w:cs="Arial"/>
                <w:sz w:val="24"/>
                <w:szCs w:val="24"/>
              </w:rPr>
              <w:t>.</w:t>
            </w:r>
          </w:p>
          <w:p w14:paraId="755E47D1" w14:textId="77777777" w:rsidR="001C7E35" w:rsidRPr="005E3A10" w:rsidRDefault="001C7E35" w:rsidP="00D25E29">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51D13024" w:rsidR="001C7E35" w:rsidRPr="005E3A10" w:rsidRDefault="001C7E35" w:rsidP="00D835CF">
            <w:pPr>
              <w:pStyle w:val="Infotext"/>
              <w:rPr>
                <w:rFonts w:cs="Arial"/>
                <w:sz w:val="24"/>
                <w:szCs w:val="24"/>
              </w:rPr>
            </w:pPr>
            <w:r w:rsidRPr="005E3A10">
              <w:rPr>
                <w:rFonts w:cs="Arial"/>
                <w:sz w:val="24"/>
                <w:szCs w:val="24"/>
              </w:rPr>
              <w:t>Yes</w:t>
            </w:r>
          </w:p>
          <w:p w14:paraId="0AECD361" w14:textId="6130C46B" w:rsidR="001C7E35" w:rsidRPr="005E3A10" w:rsidRDefault="001C7E35" w:rsidP="00D835CF">
            <w:pPr>
              <w:rPr>
                <w:rFonts w:cs="Arial"/>
                <w:szCs w:val="24"/>
              </w:rPr>
            </w:pPr>
          </w:p>
          <w:p w14:paraId="3A75E271" w14:textId="77777777" w:rsidR="00714BEE" w:rsidRPr="005E3A10" w:rsidRDefault="00714BEE" w:rsidP="00D835CF">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36C1349C" w14:textId="1C150A7D" w:rsidR="007F14E3" w:rsidRDefault="007F14E3" w:rsidP="00D835CF">
            <w:pPr>
              <w:rPr>
                <w:rFonts w:cs="Arial"/>
                <w:szCs w:val="24"/>
              </w:rPr>
            </w:pPr>
            <w:r>
              <w:rPr>
                <w:rFonts w:cs="Arial"/>
                <w:szCs w:val="24"/>
              </w:rPr>
              <w:t>ALL</w:t>
            </w:r>
          </w:p>
          <w:p w14:paraId="52E38AE7" w14:textId="289C47B8" w:rsidR="00307F76" w:rsidRPr="00307F76" w:rsidRDefault="00307F76" w:rsidP="00D835CF">
            <w:pPr>
              <w:rPr>
                <w:rFonts w:cs="Arial"/>
                <w:b/>
                <w:color w:val="FF0000"/>
                <w:szCs w:val="24"/>
              </w:rPr>
            </w:pP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0F714FE0" w14:textId="3185227A" w:rsidR="00BF6A38" w:rsidRDefault="00BF6A38" w:rsidP="001C7E35">
            <w:pPr>
              <w:pStyle w:val="Infotext"/>
              <w:rPr>
                <w:rFonts w:cs="Arial"/>
                <w:sz w:val="24"/>
                <w:szCs w:val="24"/>
              </w:rPr>
            </w:pPr>
            <w:r>
              <w:rPr>
                <w:rFonts w:cs="Arial"/>
                <w:sz w:val="24"/>
                <w:szCs w:val="24"/>
              </w:rPr>
              <w:t>App</w:t>
            </w:r>
            <w:r w:rsidR="00367CA8">
              <w:rPr>
                <w:rFonts w:cs="Arial"/>
                <w:sz w:val="24"/>
                <w:szCs w:val="24"/>
              </w:rPr>
              <w:t>endix</w:t>
            </w:r>
            <w:r w:rsidR="007E4EB4">
              <w:rPr>
                <w:rFonts w:cs="Arial"/>
                <w:sz w:val="24"/>
                <w:szCs w:val="24"/>
              </w:rPr>
              <w:t xml:space="preserve"> </w:t>
            </w:r>
            <w:r>
              <w:rPr>
                <w:rFonts w:cs="Arial"/>
                <w:sz w:val="24"/>
                <w:szCs w:val="24"/>
              </w:rPr>
              <w:t>1 Real Living Wage Transition Plan</w:t>
            </w:r>
            <w:r w:rsidR="00A21ACF">
              <w:rPr>
                <w:rFonts w:cs="Arial"/>
                <w:sz w:val="24"/>
                <w:szCs w:val="24"/>
              </w:rPr>
              <w:t xml:space="preserve"> (EXEMPT)</w:t>
            </w:r>
          </w:p>
          <w:p w14:paraId="17FB96D7" w14:textId="77777777" w:rsidR="001C7E35" w:rsidRDefault="001C7E35" w:rsidP="00DB6C3D">
            <w:pPr>
              <w:pStyle w:val="Infotext"/>
              <w:rPr>
                <w:color w:val="FF0000"/>
                <w:sz w:val="24"/>
                <w:szCs w:val="24"/>
              </w:rPr>
            </w:pPr>
          </w:p>
          <w:p w14:paraId="6668D730" w14:textId="11AE1364" w:rsidR="00BF6A38" w:rsidRPr="005E3A10" w:rsidRDefault="00BF6A38"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7457"/>
      </w:tblGrid>
      <w:tr w:rsidR="00333FAA" w14:paraId="39320826" w14:textId="77777777" w:rsidTr="00556295">
        <w:trPr>
          <w:trHeight w:val="620"/>
          <w:tblHeader/>
        </w:trPr>
        <w:tc>
          <w:tcPr>
            <w:tcW w:w="7457" w:type="dxa"/>
            <w:tcBorders>
              <w:top w:val="nil"/>
              <w:left w:val="nil"/>
              <w:right w:val="nil"/>
            </w:tcBorders>
          </w:tcPr>
          <w:p w14:paraId="3A67BFB3" w14:textId="77777777" w:rsidR="00333FAA" w:rsidRPr="00035C53" w:rsidRDefault="00333FAA" w:rsidP="00605A4C">
            <w:pPr>
              <w:pStyle w:val="Heading2"/>
              <w:spacing w:after="240"/>
              <w:rPr>
                <w:sz w:val="28"/>
                <w:szCs w:val="28"/>
              </w:rPr>
            </w:pPr>
            <w:r w:rsidRPr="00035C53">
              <w:rPr>
                <w:sz w:val="28"/>
                <w:szCs w:val="28"/>
              </w:rPr>
              <w:lastRenderedPageBreak/>
              <w:t>Section 1 – Summary and Recommendations</w:t>
            </w:r>
          </w:p>
        </w:tc>
      </w:tr>
      <w:tr w:rsidR="00333FAA" w14:paraId="5D78E563" w14:textId="77777777" w:rsidTr="00556295">
        <w:trPr>
          <w:trHeight w:val="9773"/>
          <w:tblHeader/>
        </w:trPr>
        <w:tc>
          <w:tcPr>
            <w:tcW w:w="7457" w:type="dxa"/>
          </w:tcPr>
          <w:p w14:paraId="7D0CC566" w14:textId="6DFDD948" w:rsidR="00FF0ABE" w:rsidRDefault="00FF0ABE" w:rsidP="00FF0ABE"/>
          <w:p w14:paraId="3E85897B" w14:textId="0C1E66C3" w:rsidR="00FF0ABE" w:rsidRPr="00FF0ABE" w:rsidRDefault="00FF0ABE" w:rsidP="00FF0ABE">
            <w:pPr>
              <w:rPr>
                <w:color w:val="0000FF"/>
              </w:rPr>
            </w:pPr>
            <w:r>
              <w:t>This report se</w:t>
            </w:r>
            <w:r w:rsidR="001A0EAA">
              <w:t>eks</w:t>
            </w:r>
            <w:r>
              <w:t xml:space="preserve"> </w:t>
            </w:r>
            <w:r w:rsidR="00DF4A85">
              <w:t>a</w:t>
            </w:r>
            <w:r>
              <w:t xml:space="preserve"> </w:t>
            </w:r>
            <w:r w:rsidR="00FD5427">
              <w:t xml:space="preserve">recommendation </w:t>
            </w:r>
            <w:r w:rsidR="00773A87">
              <w:t xml:space="preserve">to </w:t>
            </w:r>
            <w:r w:rsidR="00AF6445">
              <w:t>apply</w:t>
            </w:r>
            <w:r w:rsidR="004F549D">
              <w:t xml:space="preserve"> to the Living Wage Foundation</w:t>
            </w:r>
            <w:r w:rsidR="00357196">
              <w:t xml:space="preserve"> (LWF)</w:t>
            </w:r>
            <w:r w:rsidR="004F549D">
              <w:t xml:space="preserve"> to become a </w:t>
            </w:r>
            <w:r w:rsidR="006873E7">
              <w:rPr>
                <w:rStyle w:val="FootnoteReference"/>
              </w:rPr>
              <w:footnoteReference w:id="1"/>
            </w:r>
            <w:r w:rsidR="00F2167D">
              <w:t>Real</w:t>
            </w:r>
            <w:r w:rsidR="00773A87">
              <w:t xml:space="preserve"> Living Wage</w:t>
            </w:r>
            <w:r w:rsidR="008E1B72">
              <w:t xml:space="preserve"> (</w:t>
            </w:r>
            <w:r w:rsidR="00F2167D">
              <w:t>R</w:t>
            </w:r>
            <w:r w:rsidR="008E1B72">
              <w:t xml:space="preserve">LW) </w:t>
            </w:r>
            <w:r w:rsidR="00773A87">
              <w:t>accredited authority</w:t>
            </w:r>
            <w:r w:rsidR="00047304">
              <w:t xml:space="preserve"> </w:t>
            </w:r>
            <w:r w:rsidR="00041794">
              <w:t xml:space="preserve">and </w:t>
            </w:r>
            <w:r w:rsidR="003D7F10">
              <w:t xml:space="preserve">develop </w:t>
            </w:r>
            <w:r w:rsidR="00B7214B">
              <w:t xml:space="preserve">a plan </w:t>
            </w:r>
            <w:r w:rsidR="00D96A0A">
              <w:t>to</w:t>
            </w:r>
            <w:r w:rsidR="00266728">
              <w:t xml:space="preserve"> </w:t>
            </w:r>
            <w:r w:rsidR="00B7214B">
              <w:t xml:space="preserve">introduce </w:t>
            </w:r>
            <w:r w:rsidR="00266728">
              <w:t xml:space="preserve">the </w:t>
            </w:r>
            <w:r w:rsidR="00F1294F">
              <w:t>R</w:t>
            </w:r>
            <w:r w:rsidR="00341AFD">
              <w:t xml:space="preserve">LW into </w:t>
            </w:r>
            <w:r w:rsidR="0086121C">
              <w:t>our supply chain</w:t>
            </w:r>
            <w:r w:rsidR="007F3C4F">
              <w:t xml:space="preserve">. </w:t>
            </w:r>
            <w:r w:rsidR="008E1B72">
              <w:t xml:space="preserve"> </w:t>
            </w:r>
          </w:p>
          <w:p w14:paraId="02274D72" w14:textId="7EB2AEC8" w:rsidR="001C7E35" w:rsidRPr="00605A4C" w:rsidRDefault="00605A4C" w:rsidP="00E13BEF">
            <w:pPr>
              <w:pStyle w:val="Heading3"/>
              <w:spacing w:before="240"/>
            </w:pPr>
            <w:r>
              <w:t>Recommen</w:t>
            </w:r>
            <w:r w:rsidR="001C7E35" w:rsidRPr="00605A4C">
              <w:t xml:space="preserve">dations: </w:t>
            </w:r>
          </w:p>
          <w:p w14:paraId="7457341A" w14:textId="77777777" w:rsidR="00034AA0" w:rsidRDefault="00034AA0" w:rsidP="00605A4C"/>
          <w:p w14:paraId="38D2B60D" w14:textId="5F55B2CC" w:rsidR="001C7E35" w:rsidRDefault="001C7E35" w:rsidP="00605A4C">
            <w:r>
              <w:t>Cabinet is requested to</w:t>
            </w:r>
            <w:r w:rsidR="00435D47">
              <w:t xml:space="preserve">: </w:t>
            </w:r>
          </w:p>
          <w:p w14:paraId="65CB0233" w14:textId="5076CF44" w:rsidR="00034AA0" w:rsidRDefault="00034AA0" w:rsidP="00605A4C"/>
          <w:p w14:paraId="12244276" w14:textId="562A1538" w:rsidR="005D586A" w:rsidRPr="006E0DAB" w:rsidRDefault="005D586A" w:rsidP="005D586A">
            <w:pPr>
              <w:pStyle w:val="ListParagraph"/>
              <w:numPr>
                <w:ilvl w:val="0"/>
                <w:numId w:val="7"/>
              </w:numPr>
            </w:pPr>
            <w:r w:rsidRPr="006E0DAB">
              <w:t>Approve the submission of an application to the L</w:t>
            </w:r>
            <w:r w:rsidR="00D16046" w:rsidRPr="006E0DAB">
              <w:t xml:space="preserve">iving </w:t>
            </w:r>
            <w:r w:rsidRPr="006E0DAB">
              <w:t>W</w:t>
            </w:r>
            <w:r w:rsidR="00A9576C" w:rsidRPr="006E0DAB">
              <w:t xml:space="preserve">age </w:t>
            </w:r>
            <w:r w:rsidRPr="006E0DAB">
              <w:t>F</w:t>
            </w:r>
            <w:r w:rsidR="00A9576C" w:rsidRPr="006E0DAB">
              <w:t>oundation</w:t>
            </w:r>
            <w:r w:rsidRPr="006E0DAB">
              <w:t xml:space="preserve"> for Harrow Council to become an accredited R</w:t>
            </w:r>
            <w:r w:rsidR="00A9576C" w:rsidRPr="006E0DAB">
              <w:t xml:space="preserve">eal </w:t>
            </w:r>
            <w:r w:rsidRPr="006E0DAB">
              <w:t>L</w:t>
            </w:r>
            <w:r w:rsidR="00A9576C" w:rsidRPr="006E0DAB">
              <w:t xml:space="preserve">iving </w:t>
            </w:r>
            <w:r w:rsidRPr="006E0DAB">
              <w:t>W</w:t>
            </w:r>
            <w:r w:rsidR="00A9576C" w:rsidRPr="006E0DAB">
              <w:t>age</w:t>
            </w:r>
            <w:r w:rsidRPr="006E0DAB">
              <w:t xml:space="preserve"> payer which incorporates </w:t>
            </w:r>
            <w:r w:rsidR="00073F1E" w:rsidRPr="006E0DAB">
              <w:t>a</w:t>
            </w:r>
            <w:r w:rsidRPr="006E0DAB">
              <w:t xml:space="preserve"> transition plan</w:t>
            </w:r>
            <w:r w:rsidR="0081434B" w:rsidRPr="006E0DAB">
              <w:t xml:space="preserve"> to</w:t>
            </w:r>
            <w:r w:rsidR="004779AB" w:rsidRPr="006E0DAB">
              <w:t xml:space="preserve"> ensure that</w:t>
            </w:r>
            <w:r w:rsidR="00B36EEE" w:rsidRPr="006E0DAB">
              <w:t xml:space="preserve"> </w:t>
            </w:r>
            <w:r w:rsidR="0081434B" w:rsidRPr="006E0DAB">
              <w:t>our supply chain</w:t>
            </w:r>
            <w:r w:rsidR="00A419E6" w:rsidRPr="006E0DAB">
              <w:t xml:space="preserve"> pay</w:t>
            </w:r>
            <w:r w:rsidR="004779AB" w:rsidRPr="006E0DAB">
              <w:t>s</w:t>
            </w:r>
            <w:r w:rsidR="00A419E6" w:rsidRPr="006E0DAB">
              <w:t xml:space="preserve"> the R</w:t>
            </w:r>
            <w:r w:rsidR="00D16046" w:rsidRPr="006E0DAB">
              <w:t xml:space="preserve">eal </w:t>
            </w:r>
            <w:r w:rsidR="00A419E6" w:rsidRPr="006E0DAB">
              <w:t>L</w:t>
            </w:r>
            <w:r w:rsidR="00D16046" w:rsidRPr="006E0DAB">
              <w:t xml:space="preserve">iving </w:t>
            </w:r>
            <w:r w:rsidR="00A419E6" w:rsidRPr="006E0DAB">
              <w:t>W</w:t>
            </w:r>
            <w:r w:rsidR="00D16046" w:rsidRPr="006E0DAB">
              <w:t>age</w:t>
            </w:r>
            <w:r w:rsidR="00A419E6" w:rsidRPr="006E0DAB">
              <w:t xml:space="preserve"> to their employees</w:t>
            </w:r>
            <w:r w:rsidRPr="006E0DAB">
              <w:t xml:space="preserve">.  </w:t>
            </w:r>
          </w:p>
          <w:p w14:paraId="14166EA1" w14:textId="77777777" w:rsidR="005D586A" w:rsidRPr="006E0DAB" w:rsidRDefault="005D586A" w:rsidP="005D586A">
            <w:pPr>
              <w:pStyle w:val="ListParagraph"/>
            </w:pPr>
          </w:p>
          <w:p w14:paraId="3B9ECE16" w14:textId="07CB986F" w:rsidR="005D586A" w:rsidRPr="006E0DAB" w:rsidRDefault="005D586A" w:rsidP="005D586A">
            <w:pPr>
              <w:pStyle w:val="ListParagraph"/>
              <w:numPr>
                <w:ilvl w:val="0"/>
                <w:numId w:val="7"/>
              </w:numPr>
            </w:pPr>
            <w:r w:rsidRPr="006E0DAB">
              <w:t xml:space="preserve">Delegate </w:t>
            </w:r>
            <w:r w:rsidR="000D0B6C" w:rsidRPr="006E0DAB">
              <w:t xml:space="preserve">authority </w:t>
            </w:r>
            <w:r w:rsidRPr="006E0DAB">
              <w:t>to the Corporate Director of Resources following consultation with the Director of Finance</w:t>
            </w:r>
            <w:r w:rsidR="00730A21">
              <w:t xml:space="preserve"> &amp; Assurance</w:t>
            </w:r>
            <w:r w:rsidRPr="006E0DAB">
              <w:t xml:space="preserve"> and the Portfolio Holder for Finance and Resources </w:t>
            </w:r>
            <w:r w:rsidR="00D16046" w:rsidRPr="006E0DAB">
              <w:t xml:space="preserve">to take </w:t>
            </w:r>
            <w:r w:rsidRPr="006E0DAB">
              <w:t>all decisions pertaining to the finalisation of the application to become accredited by the L</w:t>
            </w:r>
            <w:r w:rsidR="00A9576C" w:rsidRPr="006E0DAB">
              <w:t xml:space="preserve">iving </w:t>
            </w:r>
            <w:r w:rsidRPr="006E0DAB">
              <w:t>W</w:t>
            </w:r>
            <w:r w:rsidR="00A9576C" w:rsidRPr="006E0DAB">
              <w:t xml:space="preserve">age </w:t>
            </w:r>
            <w:r w:rsidRPr="006E0DAB">
              <w:t>F</w:t>
            </w:r>
            <w:r w:rsidR="00A9576C" w:rsidRPr="006E0DAB">
              <w:t>oundation</w:t>
            </w:r>
            <w:r w:rsidRPr="006E0DAB">
              <w:t>.</w:t>
            </w:r>
          </w:p>
          <w:p w14:paraId="0E8C4123" w14:textId="77777777" w:rsidR="006D772C" w:rsidRPr="006E0DAB" w:rsidRDefault="006D772C" w:rsidP="00E671CE">
            <w:pPr>
              <w:pStyle w:val="ListParagraph"/>
            </w:pPr>
          </w:p>
          <w:p w14:paraId="4D068795" w14:textId="5623B064" w:rsidR="006D772C" w:rsidRPr="006E0DAB" w:rsidRDefault="006D772C" w:rsidP="005D586A">
            <w:pPr>
              <w:pStyle w:val="ListParagraph"/>
              <w:numPr>
                <w:ilvl w:val="0"/>
                <w:numId w:val="7"/>
              </w:numPr>
            </w:pPr>
            <w:r w:rsidRPr="006E0DAB">
              <w:t xml:space="preserve">Delegate </w:t>
            </w:r>
            <w:r w:rsidR="000D0B6C" w:rsidRPr="006E0DAB">
              <w:t xml:space="preserve">authority </w:t>
            </w:r>
            <w:r w:rsidRPr="006E0DAB">
              <w:t>to the Corporate Director of Resources following consultation with the Director of Finance</w:t>
            </w:r>
            <w:r w:rsidR="00730A21">
              <w:t xml:space="preserve"> &amp; Assurance</w:t>
            </w:r>
            <w:r w:rsidRPr="006E0DAB">
              <w:t xml:space="preserve"> and the Portfolio Holder for Finance and Resources </w:t>
            </w:r>
            <w:r w:rsidR="00D16046" w:rsidRPr="006E0DAB">
              <w:t xml:space="preserve">to take </w:t>
            </w:r>
            <w:r w:rsidRPr="006E0DAB">
              <w:t>all decisions pertaining to</w:t>
            </w:r>
            <w:r w:rsidR="003C0D42" w:rsidRPr="006E0DAB">
              <w:t xml:space="preserve"> ensuring all our </w:t>
            </w:r>
            <w:r w:rsidR="00F01E86" w:rsidRPr="006E0DAB">
              <w:t>employees</w:t>
            </w:r>
            <w:r w:rsidR="003C0D42" w:rsidRPr="006E0DAB">
              <w:t xml:space="preserve"> are paid the L</w:t>
            </w:r>
            <w:r w:rsidR="00FD18BA">
              <w:t xml:space="preserve">ondon </w:t>
            </w:r>
            <w:r w:rsidR="003C0D42" w:rsidRPr="006E0DAB">
              <w:t>L</w:t>
            </w:r>
            <w:r w:rsidR="00FD18BA">
              <w:t xml:space="preserve">iving </w:t>
            </w:r>
            <w:r w:rsidR="003C0D42" w:rsidRPr="006E0DAB">
              <w:t>W</w:t>
            </w:r>
            <w:r w:rsidR="00FD18BA">
              <w:t>age (LLW)</w:t>
            </w:r>
            <w:r w:rsidR="00F01E86" w:rsidRPr="006E0DAB">
              <w:t xml:space="preserve"> as a minimum and </w:t>
            </w:r>
            <w:r w:rsidR="00D16046" w:rsidRPr="006E0DAB">
              <w:t>to</w:t>
            </w:r>
            <w:r w:rsidR="009F7B18" w:rsidRPr="006E0DAB">
              <w:t xml:space="preserve"> implement a transition plan that ensures that </w:t>
            </w:r>
            <w:r w:rsidR="00D16046" w:rsidRPr="006E0DAB">
              <w:t>our supply chain pay</w:t>
            </w:r>
            <w:r w:rsidR="009F7B18" w:rsidRPr="006E0DAB">
              <w:t>s</w:t>
            </w:r>
            <w:r w:rsidR="00D16046" w:rsidRPr="006E0DAB">
              <w:t xml:space="preserve"> the Real Living Wage to their employees</w:t>
            </w:r>
            <w:r w:rsidR="00DD2F45" w:rsidRPr="006E0DAB">
              <w:t>.</w:t>
            </w:r>
          </w:p>
          <w:p w14:paraId="5654F34A" w14:textId="77777777" w:rsidR="005D586A" w:rsidRPr="0006667C" w:rsidRDefault="005D586A" w:rsidP="005D586A">
            <w:pPr>
              <w:pStyle w:val="ListParagraph"/>
            </w:pPr>
          </w:p>
          <w:p w14:paraId="14063ACC" w14:textId="1AD63FE5" w:rsidR="005D586A" w:rsidRPr="0006667C" w:rsidRDefault="005D586A" w:rsidP="005D586A">
            <w:pPr>
              <w:pStyle w:val="ListParagraph"/>
              <w:numPr>
                <w:ilvl w:val="0"/>
                <w:numId w:val="7"/>
              </w:numPr>
            </w:pPr>
            <w:r w:rsidRPr="0006667C">
              <w:t xml:space="preserve">Note the estimated financial impact </w:t>
            </w:r>
            <w:r w:rsidR="00274511">
              <w:t xml:space="preserve">on the Council </w:t>
            </w:r>
            <w:r w:rsidRPr="0006667C">
              <w:t xml:space="preserve">of </w:t>
            </w:r>
            <w:r w:rsidR="00404AA9">
              <w:t xml:space="preserve">our transition plan to ensure </w:t>
            </w:r>
            <w:r w:rsidR="00BC6D80">
              <w:t xml:space="preserve">our suppliers to pay </w:t>
            </w:r>
            <w:r w:rsidR="009F158C" w:rsidRPr="009F158C">
              <w:t>the R</w:t>
            </w:r>
            <w:r w:rsidR="009D10D6">
              <w:t xml:space="preserve">eal </w:t>
            </w:r>
            <w:r w:rsidR="009F158C" w:rsidRPr="009F158C">
              <w:t>L</w:t>
            </w:r>
            <w:r w:rsidR="009D10D6">
              <w:t xml:space="preserve">iving </w:t>
            </w:r>
            <w:r w:rsidR="009F158C" w:rsidRPr="009F158C">
              <w:t>W</w:t>
            </w:r>
            <w:r w:rsidR="009D10D6">
              <w:t>age</w:t>
            </w:r>
            <w:r w:rsidR="009F158C" w:rsidRPr="009F158C">
              <w:t xml:space="preserve"> </w:t>
            </w:r>
            <w:r w:rsidR="00BC6D80">
              <w:t xml:space="preserve">to their employees </w:t>
            </w:r>
            <w:r w:rsidRPr="0006667C">
              <w:t xml:space="preserve">and the budget provided for in the draft </w:t>
            </w:r>
            <w:r w:rsidR="00C26E6E" w:rsidRPr="0006667C">
              <w:t>M</w:t>
            </w:r>
            <w:r w:rsidR="00C26E6E">
              <w:t>edium-Term</w:t>
            </w:r>
            <w:r w:rsidR="00434D1D">
              <w:t xml:space="preserve"> </w:t>
            </w:r>
            <w:r w:rsidRPr="0006667C">
              <w:t>F</w:t>
            </w:r>
            <w:r w:rsidR="00434D1D">
              <w:t xml:space="preserve">inancial </w:t>
            </w:r>
            <w:r w:rsidRPr="0006667C">
              <w:t>S</w:t>
            </w:r>
            <w:r w:rsidR="00434D1D">
              <w:t>trategy</w:t>
            </w:r>
            <w:r w:rsidRPr="0006667C">
              <w:t>.</w:t>
            </w:r>
          </w:p>
          <w:p w14:paraId="205A871E" w14:textId="77777777" w:rsidR="00034AA0" w:rsidRDefault="00034AA0" w:rsidP="00605A4C"/>
          <w:p w14:paraId="061365F9" w14:textId="0EF8D344" w:rsidR="001C7E35" w:rsidRPr="00F06E4E" w:rsidRDefault="00E13BEF" w:rsidP="00E13BEF">
            <w:pPr>
              <w:pStyle w:val="Heading3"/>
              <w:ind w:left="0" w:firstLine="0"/>
              <w:jc w:val="left"/>
              <w:rPr>
                <w:color w:val="FF0000"/>
              </w:rPr>
            </w:pPr>
            <w:r>
              <w:t>Reason: (f</w:t>
            </w:r>
            <w:r w:rsidR="001C7E35" w:rsidRPr="00605A4C">
              <w:t xml:space="preserve">or </w:t>
            </w:r>
            <w:r w:rsidR="007425C8" w:rsidRPr="00605A4C">
              <w:t>recommendations)</w:t>
            </w:r>
            <w:r w:rsidR="007425C8">
              <w:t xml:space="preserve"> </w:t>
            </w:r>
          </w:p>
          <w:p w14:paraId="15A49418" w14:textId="77777777" w:rsidR="00333FAA" w:rsidRDefault="00333FAA" w:rsidP="00605A4C"/>
          <w:p w14:paraId="710665A4" w14:textId="6BB9459E" w:rsidR="007D1BC8" w:rsidRDefault="00996F1E" w:rsidP="00605A4C">
            <w:r>
              <w:t xml:space="preserve">To </w:t>
            </w:r>
            <w:r w:rsidR="007947A3">
              <w:t>be recognised</w:t>
            </w:r>
            <w:r w:rsidR="005D02B5">
              <w:t>,</w:t>
            </w:r>
            <w:r w:rsidR="007947A3">
              <w:t xml:space="preserve"> </w:t>
            </w:r>
            <w:r w:rsidR="005D02B5">
              <w:t xml:space="preserve">through successful accreditation, </w:t>
            </w:r>
            <w:r w:rsidR="007947A3">
              <w:t>by the L</w:t>
            </w:r>
            <w:r w:rsidR="00AD0203">
              <w:t>W</w:t>
            </w:r>
            <w:r w:rsidR="007947A3">
              <w:t xml:space="preserve">F as </w:t>
            </w:r>
            <w:proofErr w:type="gramStart"/>
            <w:r w:rsidR="00F53C73">
              <w:t>a</w:t>
            </w:r>
            <w:proofErr w:type="gramEnd"/>
            <w:r w:rsidR="00F53C73">
              <w:t xml:space="preserve"> LLW employer and </w:t>
            </w:r>
            <w:r w:rsidR="0095147D">
              <w:t xml:space="preserve">put in place a plan </w:t>
            </w:r>
            <w:r w:rsidR="00663CB7">
              <w:t xml:space="preserve">to </w:t>
            </w:r>
            <w:r>
              <w:t xml:space="preserve">implement the payment of the </w:t>
            </w:r>
            <w:r w:rsidR="00B340FE">
              <w:t>R</w:t>
            </w:r>
            <w:r>
              <w:t xml:space="preserve">LW </w:t>
            </w:r>
            <w:r w:rsidR="00663CB7">
              <w:t>in</w:t>
            </w:r>
            <w:r w:rsidR="006B4736">
              <w:t xml:space="preserve">to </w:t>
            </w:r>
            <w:r w:rsidR="00663CB7">
              <w:t xml:space="preserve">the supply chain to </w:t>
            </w:r>
            <w:r w:rsidR="006B4736">
              <w:t>support the Council priorities of</w:t>
            </w:r>
            <w:r w:rsidR="007D1BC8">
              <w:t>:</w:t>
            </w:r>
          </w:p>
          <w:p w14:paraId="03BBF6D2" w14:textId="77777777" w:rsidR="007D1BC8" w:rsidRDefault="007D1BC8" w:rsidP="00605A4C"/>
          <w:p w14:paraId="0A1A432F" w14:textId="77777777" w:rsidR="007D1BC8" w:rsidRDefault="005E3BD1" w:rsidP="00605A4C">
            <w:pPr>
              <w:pStyle w:val="ListParagraph"/>
              <w:numPr>
                <w:ilvl w:val="0"/>
                <w:numId w:val="19"/>
              </w:numPr>
            </w:pPr>
            <w:r>
              <w:t>Tackling poverty</w:t>
            </w:r>
            <w:r w:rsidR="00B24AA6">
              <w:t xml:space="preserve"> and inequality</w:t>
            </w:r>
            <w:r w:rsidR="00B944C2">
              <w:t>;</w:t>
            </w:r>
          </w:p>
          <w:p w14:paraId="741640DA" w14:textId="77777777" w:rsidR="007D1BC8" w:rsidRDefault="00B944C2" w:rsidP="00605A4C">
            <w:pPr>
              <w:pStyle w:val="ListParagraph"/>
              <w:numPr>
                <w:ilvl w:val="0"/>
                <w:numId w:val="19"/>
              </w:numPr>
            </w:pPr>
            <w:r>
              <w:t>A</w:t>
            </w:r>
            <w:r w:rsidR="00B24AA6">
              <w:t>ddressing health and social care inequality</w:t>
            </w:r>
            <w:r>
              <w:t>;</w:t>
            </w:r>
            <w:r w:rsidR="00283173">
              <w:t xml:space="preserve"> and </w:t>
            </w:r>
          </w:p>
          <w:p w14:paraId="13188D76" w14:textId="77777777" w:rsidR="003021F3" w:rsidRDefault="00B944C2" w:rsidP="00605A4C">
            <w:pPr>
              <w:pStyle w:val="ListParagraph"/>
              <w:numPr>
                <w:ilvl w:val="0"/>
                <w:numId w:val="19"/>
              </w:numPr>
            </w:pPr>
            <w:r>
              <w:t>B</w:t>
            </w:r>
            <w:r w:rsidR="00283173">
              <w:t>uilding a thriving economy.</w:t>
            </w:r>
            <w:r w:rsidR="00B24AA6">
              <w:t xml:space="preserve"> </w:t>
            </w:r>
          </w:p>
          <w:p w14:paraId="313BC81E" w14:textId="14C2E003" w:rsidR="007D1BC8" w:rsidRDefault="007D1BC8" w:rsidP="007D1BC8">
            <w:pPr>
              <w:pStyle w:val="ListParagraph"/>
            </w:pPr>
          </w:p>
        </w:tc>
      </w:tr>
    </w:tbl>
    <w:p w14:paraId="0204F38A" w14:textId="7BA0593C" w:rsidR="00333FAA" w:rsidRDefault="00333FAA" w:rsidP="00F06E4E">
      <w:pPr>
        <w:pStyle w:val="Heading2"/>
        <w:spacing w:before="480"/>
      </w:pPr>
      <w:r>
        <w:lastRenderedPageBreak/>
        <w:t>Section 2 – Report</w:t>
      </w:r>
    </w:p>
    <w:p w14:paraId="010E3898" w14:textId="77777777" w:rsidR="00BC6D24" w:rsidRPr="00AB5C77" w:rsidRDefault="00BC6D24" w:rsidP="00BC6D24">
      <w:pPr>
        <w:pStyle w:val="Heading3"/>
        <w:spacing w:before="240"/>
        <w:ind w:left="0" w:firstLine="0"/>
        <w:jc w:val="left"/>
        <w:rPr>
          <w:sz w:val="24"/>
          <w:szCs w:val="24"/>
        </w:rPr>
      </w:pPr>
      <w:r w:rsidRPr="00AB5C77">
        <w:rPr>
          <w:sz w:val="24"/>
          <w:szCs w:val="24"/>
        </w:rPr>
        <w:t xml:space="preserve">Options considered  </w:t>
      </w:r>
    </w:p>
    <w:p w14:paraId="199DBF71" w14:textId="77777777" w:rsidR="00BC6D24" w:rsidRDefault="00BC6D24" w:rsidP="00BC6D24">
      <w:pPr>
        <w:rPr>
          <w:b/>
          <w:color w:val="FF0000"/>
        </w:rPr>
      </w:pPr>
    </w:p>
    <w:p w14:paraId="53C61512" w14:textId="77777777" w:rsidR="00BC6D24" w:rsidRDefault="00BC6D24" w:rsidP="00BC6D24">
      <w:r>
        <w:t>The options considered are:</w:t>
      </w:r>
    </w:p>
    <w:p w14:paraId="71233BE0" w14:textId="77777777" w:rsidR="00BC6D24" w:rsidRDefault="00BC6D24" w:rsidP="00BC6D24"/>
    <w:p w14:paraId="1B8F2A9C" w14:textId="7762810B" w:rsidR="00C4249C" w:rsidRPr="00B86A1E" w:rsidRDefault="00BC6D24" w:rsidP="00B86A1E">
      <w:pPr>
        <w:pStyle w:val="ListParagraph"/>
        <w:numPr>
          <w:ilvl w:val="0"/>
          <w:numId w:val="9"/>
        </w:numPr>
      </w:pPr>
      <w:r>
        <w:t xml:space="preserve">To </w:t>
      </w:r>
      <w:r w:rsidR="007C525A">
        <w:t xml:space="preserve">apply for </w:t>
      </w:r>
      <w:r w:rsidR="00451467">
        <w:t xml:space="preserve">accreditation from </w:t>
      </w:r>
      <w:r>
        <w:t>the L</w:t>
      </w:r>
      <w:r w:rsidR="00D26BCF">
        <w:t xml:space="preserve">iving </w:t>
      </w:r>
      <w:r>
        <w:t>W</w:t>
      </w:r>
      <w:r w:rsidR="00D26BCF">
        <w:t xml:space="preserve">age </w:t>
      </w:r>
      <w:r>
        <w:t>F</w:t>
      </w:r>
      <w:r w:rsidR="00D26BCF">
        <w:t>oundation</w:t>
      </w:r>
      <w:r w:rsidR="00187111">
        <w:t xml:space="preserve"> </w:t>
      </w:r>
      <w:r w:rsidR="002E6061">
        <w:t xml:space="preserve">as </w:t>
      </w:r>
      <w:proofErr w:type="gramStart"/>
      <w:r w:rsidR="002E6061">
        <w:t>a</w:t>
      </w:r>
      <w:proofErr w:type="gramEnd"/>
      <w:r w:rsidR="002E6061">
        <w:t xml:space="preserve"> </w:t>
      </w:r>
      <w:r w:rsidR="00B86A1E">
        <w:t xml:space="preserve">LLW employer </w:t>
      </w:r>
      <w:r w:rsidR="00187111">
        <w:t>and</w:t>
      </w:r>
      <w:r w:rsidR="007124C8">
        <w:t xml:space="preserve"> </w:t>
      </w:r>
      <w:r w:rsidR="00451467">
        <w:t xml:space="preserve">develop a plan </w:t>
      </w:r>
      <w:r w:rsidR="007124C8">
        <w:t>to introduce the RLW into our supply chain</w:t>
      </w:r>
      <w:r w:rsidR="00C4249C">
        <w:t>. OR</w:t>
      </w:r>
    </w:p>
    <w:p w14:paraId="51BDDC20" w14:textId="0D49AAFB" w:rsidR="00C4249C" w:rsidRPr="00C4249C" w:rsidRDefault="00C4249C" w:rsidP="00C4249C">
      <w:pPr>
        <w:pStyle w:val="ListParagraph"/>
        <w:rPr>
          <w:b/>
          <w:color w:val="FF0000"/>
        </w:rPr>
      </w:pPr>
      <w:r>
        <w:t xml:space="preserve"> </w:t>
      </w:r>
    </w:p>
    <w:p w14:paraId="5E3128D6" w14:textId="2EB31BC9" w:rsidR="00C4249C" w:rsidRDefault="004A1FC1" w:rsidP="00C4249C">
      <w:pPr>
        <w:pStyle w:val="ListParagraph"/>
        <w:numPr>
          <w:ilvl w:val="0"/>
          <w:numId w:val="9"/>
        </w:numPr>
      </w:pPr>
      <w:r>
        <w:t xml:space="preserve">To only continue </w:t>
      </w:r>
      <w:r w:rsidR="006D49AB">
        <w:t xml:space="preserve">to be </w:t>
      </w:r>
      <w:proofErr w:type="gramStart"/>
      <w:r w:rsidR="006D49AB">
        <w:t>a</w:t>
      </w:r>
      <w:proofErr w:type="gramEnd"/>
      <w:r w:rsidR="006D49AB">
        <w:t xml:space="preserve"> LLW Employer</w:t>
      </w:r>
      <w:r w:rsidR="00577594">
        <w:t xml:space="preserve"> and not seek </w:t>
      </w:r>
      <w:r w:rsidR="004E691C">
        <w:t>living wage accredited body status</w:t>
      </w:r>
      <w:r w:rsidR="00AC3A8C">
        <w:t xml:space="preserve"> and therefore not introduce it into our supply chain.</w:t>
      </w:r>
    </w:p>
    <w:p w14:paraId="4E8DF950" w14:textId="77777777" w:rsidR="00302C20" w:rsidRDefault="00302C20" w:rsidP="005E6BA7">
      <w:pPr>
        <w:pStyle w:val="ListParagraph"/>
      </w:pPr>
    </w:p>
    <w:p w14:paraId="7EEEA8AE" w14:textId="5F8EAC8B" w:rsidR="009A652E" w:rsidRPr="0036355D" w:rsidRDefault="009A652E" w:rsidP="009A652E">
      <w:r w:rsidRPr="00C949F1">
        <w:t xml:space="preserve">In </w:t>
      </w:r>
      <w:r>
        <w:t>support of the Council’s priorities as detailed in the Borough Plan and further reinforced by the Council</w:t>
      </w:r>
      <w:r w:rsidR="00C07387">
        <w:t xml:space="preserve">’s Living Wage </w:t>
      </w:r>
      <w:r>
        <w:t xml:space="preserve">motion in November 2020, option </w:t>
      </w:r>
      <w:r w:rsidR="00A66F99">
        <w:t>one</w:t>
      </w:r>
      <w:r>
        <w:t xml:space="preserve"> is </w:t>
      </w:r>
      <w:r w:rsidR="00474F05">
        <w:t>supported by the recommendations of</w:t>
      </w:r>
      <w:r>
        <w:t xml:space="preserve"> this report.</w:t>
      </w:r>
    </w:p>
    <w:p w14:paraId="669CDA5F" w14:textId="6B379ED2" w:rsidR="00CA01BD" w:rsidRPr="00A810A6" w:rsidRDefault="00A810A6" w:rsidP="00CE2F9F">
      <w:pPr>
        <w:pStyle w:val="Heading3"/>
        <w:spacing w:before="240"/>
        <w:ind w:left="0" w:firstLine="0"/>
        <w:jc w:val="left"/>
        <w:rPr>
          <w:sz w:val="24"/>
          <w:szCs w:val="24"/>
        </w:rPr>
      </w:pPr>
      <w:r w:rsidRPr="00A810A6">
        <w:rPr>
          <w:sz w:val="24"/>
          <w:szCs w:val="24"/>
        </w:rPr>
        <w:t>Backg</w:t>
      </w:r>
      <w:r w:rsidR="0065634D">
        <w:rPr>
          <w:sz w:val="24"/>
          <w:szCs w:val="24"/>
        </w:rPr>
        <w:t>r</w:t>
      </w:r>
      <w:r w:rsidRPr="00A810A6">
        <w:rPr>
          <w:sz w:val="24"/>
          <w:szCs w:val="24"/>
        </w:rPr>
        <w:t>ound</w:t>
      </w:r>
    </w:p>
    <w:p w14:paraId="49BE526B" w14:textId="6282C7F9" w:rsidR="0065634D" w:rsidRPr="00E17A99" w:rsidRDefault="0065634D" w:rsidP="0065634D">
      <w:pPr>
        <w:pStyle w:val="Heading2"/>
        <w:spacing w:before="240"/>
        <w:rPr>
          <w:rFonts w:ascii="Arial" w:hAnsi="Arial" w:cs="Times New Roman"/>
          <w:b w:val="0"/>
          <w:bCs w:val="0"/>
          <w:sz w:val="24"/>
          <w:szCs w:val="20"/>
        </w:rPr>
      </w:pPr>
      <w:r w:rsidRPr="003A6ED8">
        <w:rPr>
          <w:rFonts w:ascii="Arial" w:hAnsi="Arial"/>
          <w:color w:val="000000" w:themeColor="text1"/>
          <w:sz w:val="24"/>
          <w:szCs w:val="24"/>
        </w:rPr>
        <w:t xml:space="preserve">The </w:t>
      </w:r>
      <w:r w:rsidR="00AA0EAD">
        <w:rPr>
          <w:rFonts w:ascii="Arial" w:hAnsi="Arial"/>
          <w:color w:val="000000" w:themeColor="text1"/>
          <w:sz w:val="24"/>
          <w:szCs w:val="24"/>
        </w:rPr>
        <w:t xml:space="preserve">Real </w:t>
      </w:r>
      <w:r w:rsidRPr="003A6ED8">
        <w:rPr>
          <w:rFonts w:ascii="Arial" w:hAnsi="Arial"/>
          <w:color w:val="000000" w:themeColor="text1"/>
          <w:sz w:val="24"/>
          <w:szCs w:val="24"/>
        </w:rPr>
        <w:t>Living Wage and the Living Wage Foundation</w:t>
      </w:r>
    </w:p>
    <w:p w14:paraId="256CB3D5" w14:textId="77777777" w:rsidR="0065634D" w:rsidRDefault="0065634D" w:rsidP="0065634D">
      <w:pPr>
        <w:rPr>
          <w:rFonts w:cs="Arial"/>
          <w:color w:val="0000FF"/>
          <w:sz w:val="28"/>
          <w:szCs w:val="28"/>
        </w:rPr>
      </w:pPr>
    </w:p>
    <w:p w14:paraId="6F6324AC" w14:textId="67CBC303" w:rsidR="00BB135C" w:rsidRDefault="0065634D" w:rsidP="0065634D">
      <w:r w:rsidRPr="00B9387D">
        <w:t>The R</w:t>
      </w:r>
      <w:r>
        <w:t>LW</w:t>
      </w:r>
      <w:r w:rsidR="00E17A99">
        <w:t xml:space="preserve"> </w:t>
      </w:r>
      <w:r>
        <w:t xml:space="preserve">is a UK wage rate that is based </w:t>
      </w:r>
      <w:r w:rsidR="001E2452">
        <w:t>o</w:t>
      </w:r>
      <w:r>
        <w:t>n the actual cost of living</w:t>
      </w:r>
      <w:r w:rsidR="00FA7A86">
        <w:t>.</w:t>
      </w:r>
      <w:r>
        <w:t xml:space="preserve"> </w:t>
      </w:r>
      <w:r w:rsidR="00FA7A86">
        <w:t>I</w:t>
      </w:r>
      <w:r w:rsidR="00E72E84">
        <w:t xml:space="preserve">t is </w:t>
      </w:r>
      <w:r>
        <w:t xml:space="preserve">paid voluntarily by employers who believe workers deserve a wage that allows them and their family to meet </w:t>
      </w:r>
      <w:r w:rsidR="00A37454">
        <w:t>everyday</w:t>
      </w:r>
      <w:r>
        <w:t xml:space="preserve"> needs. Unlike the National Minimum Wage, the RLW is not required to be paid by law.</w:t>
      </w:r>
      <w:r w:rsidR="00F93772">
        <w:t xml:space="preserve"> </w:t>
      </w:r>
      <w:r w:rsidR="00BB135C">
        <w:t xml:space="preserve">The RLW rate is announced every November </w:t>
      </w:r>
      <w:r w:rsidR="00D778F3" w:rsidRPr="00D778F3">
        <w:t>independently calculated based on what people need to live on. </w:t>
      </w:r>
      <w:r w:rsidR="00B461BC">
        <w:t xml:space="preserve">The rates for </w:t>
      </w:r>
      <w:r w:rsidR="0092008D">
        <w:t>2021/</w:t>
      </w:r>
      <w:r w:rsidR="00B461BC">
        <w:t xml:space="preserve">2022 </w:t>
      </w:r>
      <w:r w:rsidR="004267E2">
        <w:t>were announced in November 2021 and have increase</w:t>
      </w:r>
      <w:r w:rsidR="00C81EC4">
        <w:t>d</w:t>
      </w:r>
      <w:r w:rsidR="004267E2">
        <w:t xml:space="preserve"> the London Living Wage by </w:t>
      </w:r>
      <w:r w:rsidR="003A5D7E">
        <w:t>2</w:t>
      </w:r>
      <w:r w:rsidR="004267E2">
        <w:t xml:space="preserve">0p from the current £10.85 to </w:t>
      </w:r>
      <w:r w:rsidR="008C743F">
        <w:t xml:space="preserve">the new rate of £11.05. The UK Living Wage </w:t>
      </w:r>
      <w:r w:rsidR="009655B5">
        <w:t xml:space="preserve">has increased </w:t>
      </w:r>
      <w:r w:rsidR="003A5D7E">
        <w:t>by 40p from the current £9.</w:t>
      </w:r>
      <w:r w:rsidR="00F02ED3">
        <w:t>5</w:t>
      </w:r>
      <w:r w:rsidR="003A5D7E">
        <w:t>0 to a new rate of £9.90.</w:t>
      </w:r>
      <w:r w:rsidR="0092008D">
        <w:t xml:space="preserve"> </w:t>
      </w:r>
      <w:r w:rsidR="00CC3046">
        <w:t xml:space="preserve"> </w:t>
      </w:r>
    </w:p>
    <w:p w14:paraId="4995D163" w14:textId="77777777" w:rsidR="0065634D" w:rsidRDefault="0065634D" w:rsidP="0065634D"/>
    <w:p w14:paraId="5EFA7556" w14:textId="2AE72D95" w:rsidR="0065634D" w:rsidRDefault="0065634D" w:rsidP="0065634D">
      <w:r>
        <w:t xml:space="preserve">Paying the RLW is regarded as a strong solution to eliminating financial poverty, child hunger, homelessness and modern slavery. </w:t>
      </w:r>
      <w:r w:rsidR="000B279F">
        <w:t xml:space="preserve">Paying </w:t>
      </w:r>
      <w:r w:rsidR="0023718D">
        <w:t xml:space="preserve">the </w:t>
      </w:r>
      <w:r w:rsidR="000B279F">
        <w:t xml:space="preserve">RLW </w:t>
      </w:r>
      <w:r>
        <w:t>ha</w:t>
      </w:r>
      <w:r w:rsidR="00AA731A">
        <w:t>s</w:t>
      </w:r>
      <w:r>
        <w:t xml:space="preserve"> a significant multiplier effect on the </w:t>
      </w:r>
      <w:r w:rsidR="00AA731A">
        <w:t xml:space="preserve">local </w:t>
      </w:r>
      <w:r>
        <w:t>economy as people with more money in their pockets will spend more</w:t>
      </w:r>
      <w:r w:rsidR="00AA731A">
        <w:t>,</w:t>
      </w:r>
      <w:r>
        <w:t xml:space="preserve"> supporting local business growth. It leads to a positive cycle of economic and social improvements within society.</w:t>
      </w:r>
      <w:r w:rsidR="00EF1270">
        <w:t xml:space="preserve"> </w:t>
      </w:r>
      <w:r w:rsidR="00114040">
        <w:t>Therefore</w:t>
      </w:r>
      <w:r w:rsidR="000259F0">
        <w:t>,</w:t>
      </w:r>
      <w:r w:rsidR="00114040">
        <w:t xml:space="preserve"> as part of our Council’s vision to</w:t>
      </w:r>
      <w:r w:rsidR="000259F0">
        <w:t xml:space="preserve"> continue its journey of </w:t>
      </w:r>
      <w:r w:rsidR="00114040">
        <w:t>creat</w:t>
      </w:r>
      <w:r w:rsidR="000259F0">
        <w:t>ing</w:t>
      </w:r>
      <w:r w:rsidR="00114040">
        <w:t xml:space="preserve"> a fairer future for all</w:t>
      </w:r>
      <w:r w:rsidR="00435888">
        <w:t xml:space="preserve">, this paper </w:t>
      </w:r>
      <w:r w:rsidR="008415DE">
        <w:t xml:space="preserve">is </w:t>
      </w:r>
      <w:r w:rsidR="00807C12">
        <w:t xml:space="preserve">requesting </w:t>
      </w:r>
      <w:r w:rsidR="00DD1DB6">
        <w:t xml:space="preserve">cabinet to </w:t>
      </w:r>
      <w:r w:rsidR="00697879">
        <w:t xml:space="preserve">approve </w:t>
      </w:r>
      <w:r w:rsidR="00C46D4C">
        <w:t>the recommendations within this report that seek</w:t>
      </w:r>
      <w:r w:rsidR="003013FE">
        <w:t xml:space="preserve"> </w:t>
      </w:r>
      <w:r w:rsidR="00C46D4C">
        <w:t xml:space="preserve">to </w:t>
      </w:r>
      <w:r w:rsidR="00CB42F3">
        <w:t xml:space="preserve">contribute to a higher wage economy by </w:t>
      </w:r>
      <w:r w:rsidR="009E4CFF">
        <w:t xml:space="preserve">planning to introduce the </w:t>
      </w:r>
      <w:r w:rsidR="00647A48">
        <w:t>RLW</w:t>
      </w:r>
      <w:r w:rsidR="00075EE5">
        <w:t xml:space="preserve"> into our supply chain.</w:t>
      </w:r>
    </w:p>
    <w:p w14:paraId="06550586" w14:textId="77777777" w:rsidR="00C830DA" w:rsidRDefault="00C830DA" w:rsidP="00C830DA">
      <w:pPr>
        <w:rPr>
          <w:rFonts w:cs="Arial"/>
          <w:color w:val="000000" w:themeColor="text1"/>
          <w:szCs w:val="24"/>
        </w:rPr>
      </w:pPr>
    </w:p>
    <w:p w14:paraId="2B075B23" w14:textId="7FC010E4" w:rsidR="00C830DA" w:rsidRDefault="00C830DA" w:rsidP="00C830DA">
      <w:pPr>
        <w:rPr>
          <w:rFonts w:cs="Arial"/>
          <w:color w:val="000000" w:themeColor="text1"/>
          <w:szCs w:val="24"/>
        </w:rPr>
      </w:pPr>
      <w:r>
        <w:rPr>
          <w:rFonts w:cs="Arial"/>
          <w:color w:val="000000" w:themeColor="text1"/>
          <w:szCs w:val="24"/>
        </w:rPr>
        <w:t xml:space="preserve">The RLW accreditation is managed by Citizens UK. The accreditation is open to employers, like </w:t>
      </w:r>
      <w:r w:rsidRPr="00621F5F">
        <w:rPr>
          <w:rFonts w:cs="Arial"/>
          <w:color w:val="000000" w:themeColor="text1"/>
          <w:szCs w:val="24"/>
        </w:rPr>
        <w:t>Harrow Council</w:t>
      </w:r>
      <w:r>
        <w:rPr>
          <w:rFonts w:cs="Arial"/>
          <w:color w:val="000000" w:themeColor="text1"/>
          <w:szCs w:val="24"/>
        </w:rPr>
        <w:t xml:space="preserve"> who are already paying the LLW to their directly employed staff. Employers who pay the RLW have enhanced reputations as being ethical employers and have seen improved staff recruitment and retention, motivation, productivity and morale improvements.   </w:t>
      </w:r>
    </w:p>
    <w:p w14:paraId="5440059C" w14:textId="77777777" w:rsidR="00C830DA" w:rsidRDefault="00C830DA" w:rsidP="00C830DA">
      <w:pPr>
        <w:rPr>
          <w:rFonts w:cs="Arial"/>
          <w:color w:val="000000" w:themeColor="text1"/>
          <w:szCs w:val="24"/>
        </w:rPr>
      </w:pPr>
    </w:p>
    <w:p w14:paraId="37241ED8" w14:textId="77777777" w:rsidR="00C830DA" w:rsidRPr="00D4616F" w:rsidRDefault="00C830DA" w:rsidP="00C830DA">
      <w:pPr>
        <w:rPr>
          <w:rFonts w:cs="Arial"/>
          <w:color w:val="000000" w:themeColor="text1"/>
          <w:szCs w:val="24"/>
        </w:rPr>
      </w:pPr>
      <w:r>
        <w:rPr>
          <w:rFonts w:cs="Arial"/>
          <w:color w:val="000000" w:themeColor="text1"/>
          <w:szCs w:val="24"/>
        </w:rPr>
        <w:lastRenderedPageBreak/>
        <w:t xml:space="preserve">The accreditation itself is a signed licence between Harrow Council and the LWF. On receipt of our submission the foundation seeks to process it within 10 working days. </w:t>
      </w:r>
    </w:p>
    <w:p w14:paraId="64BB49CB" w14:textId="20FE25D8" w:rsidR="00C830DA" w:rsidRDefault="00C830DA"/>
    <w:p w14:paraId="3DFBD36C" w14:textId="0F059895" w:rsidR="00C830DA" w:rsidRDefault="00C830DA" w:rsidP="00C830DA">
      <w:pPr>
        <w:rPr>
          <w:rFonts w:cs="Arial"/>
          <w:color w:val="0000FF"/>
          <w:sz w:val="28"/>
          <w:szCs w:val="28"/>
        </w:rPr>
      </w:pPr>
      <w:r>
        <w:t>The table below explains the UK wage rates in a simple way.</w:t>
      </w:r>
    </w:p>
    <w:p w14:paraId="0F0514B2" w14:textId="000ADD65" w:rsidR="00444769" w:rsidRDefault="00444769">
      <w:pPr>
        <w:rPr>
          <w:noProof/>
        </w:rPr>
      </w:pPr>
    </w:p>
    <w:p w14:paraId="0F1E04B0" w14:textId="6C7DF183" w:rsidR="0065634D" w:rsidRDefault="00BB5020" w:rsidP="0065634D">
      <w:pPr>
        <w:rPr>
          <w:rFonts w:cs="Arial"/>
          <w:color w:val="0000FF"/>
          <w:sz w:val="28"/>
          <w:szCs w:val="28"/>
        </w:rPr>
      </w:pPr>
      <w:r>
        <w:rPr>
          <w:rFonts w:cs="Arial"/>
          <w:noProof/>
          <w:color w:val="0000FF"/>
          <w:sz w:val="28"/>
          <w:szCs w:val="28"/>
        </w:rPr>
        <w:drawing>
          <wp:inline distT="0" distB="0" distL="0" distR="0" wp14:anchorId="31121349" wp14:editId="03D70F98">
            <wp:extent cx="5730875" cy="34385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3438525"/>
                    </a:xfrm>
                    <a:prstGeom prst="rect">
                      <a:avLst/>
                    </a:prstGeom>
                    <a:noFill/>
                  </pic:spPr>
                </pic:pic>
              </a:graphicData>
            </a:graphic>
          </wp:inline>
        </w:drawing>
      </w:r>
    </w:p>
    <w:p w14:paraId="4A4C1FBB" w14:textId="656A25FE" w:rsidR="00444769" w:rsidRDefault="00444769" w:rsidP="0065634D">
      <w:pPr>
        <w:rPr>
          <w:rFonts w:cs="Arial"/>
          <w:color w:val="0000FF"/>
          <w:sz w:val="28"/>
          <w:szCs w:val="28"/>
        </w:rPr>
      </w:pPr>
    </w:p>
    <w:p w14:paraId="385BD9FC" w14:textId="77777777" w:rsidR="0065634D" w:rsidRPr="002D544F" w:rsidRDefault="0065634D" w:rsidP="0065634D">
      <w:pPr>
        <w:pStyle w:val="Heading2"/>
        <w:rPr>
          <w:rFonts w:ascii="Arial" w:hAnsi="Arial"/>
          <w:color w:val="000000" w:themeColor="text1"/>
          <w:sz w:val="24"/>
          <w:szCs w:val="24"/>
        </w:rPr>
      </w:pPr>
      <w:r w:rsidRPr="002D544F">
        <w:rPr>
          <w:rFonts w:ascii="Arial" w:hAnsi="Arial"/>
          <w:color w:val="000000" w:themeColor="text1"/>
          <w:sz w:val="24"/>
          <w:szCs w:val="24"/>
        </w:rPr>
        <w:t>Why a change is needed</w:t>
      </w:r>
    </w:p>
    <w:p w14:paraId="36C66427" w14:textId="77777777" w:rsidR="0065634D" w:rsidRDefault="0065634D" w:rsidP="0065634D">
      <w:pPr>
        <w:rPr>
          <w:rFonts w:cs="Arial"/>
          <w:color w:val="0000FF"/>
          <w:sz w:val="28"/>
          <w:szCs w:val="28"/>
        </w:rPr>
      </w:pPr>
    </w:p>
    <w:p w14:paraId="33D06EE5" w14:textId="7FA75AEB" w:rsidR="003C1533" w:rsidRDefault="003C1533" w:rsidP="0065634D">
      <w:pPr>
        <w:rPr>
          <w:rFonts w:cs="Arial"/>
        </w:rPr>
      </w:pPr>
      <w:r>
        <w:rPr>
          <w:rFonts w:cs="Arial"/>
        </w:rPr>
        <w:t xml:space="preserve">Already a </w:t>
      </w:r>
      <w:r w:rsidR="00844BF2">
        <w:rPr>
          <w:rFonts w:cs="Arial"/>
        </w:rPr>
        <w:t xml:space="preserve">London </w:t>
      </w:r>
      <w:r w:rsidR="002165B6">
        <w:rPr>
          <w:rFonts w:cs="Arial"/>
        </w:rPr>
        <w:t>L</w:t>
      </w:r>
      <w:r w:rsidR="00844BF2">
        <w:rPr>
          <w:rFonts w:cs="Arial"/>
        </w:rPr>
        <w:t xml:space="preserve">iving </w:t>
      </w:r>
      <w:r w:rsidR="002165B6">
        <w:rPr>
          <w:rFonts w:cs="Arial"/>
        </w:rPr>
        <w:t>W</w:t>
      </w:r>
      <w:r w:rsidR="00844BF2">
        <w:rPr>
          <w:rFonts w:cs="Arial"/>
        </w:rPr>
        <w:t>age</w:t>
      </w:r>
      <w:r w:rsidR="002165B6">
        <w:rPr>
          <w:rFonts w:cs="Arial"/>
        </w:rPr>
        <w:t xml:space="preserve"> </w:t>
      </w:r>
      <w:r>
        <w:rPr>
          <w:rFonts w:cs="Arial"/>
        </w:rPr>
        <w:t>employer</w:t>
      </w:r>
      <w:r w:rsidR="004C63BC">
        <w:rPr>
          <w:rFonts w:cs="Arial"/>
        </w:rPr>
        <w:t xml:space="preserve">, Harrow Council now recognises the next </w:t>
      </w:r>
      <w:r w:rsidR="00B00F31">
        <w:rPr>
          <w:rFonts w:cs="Arial"/>
        </w:rPr>
        <w:t xml:space="preserve">step on the journey is to incrementally </w:t>
      </w:r>
      <w:r w:rsidR="00FD7A8D">
        <w:rPr>
          <w:rFonts w:cs="Arial"/>
        </w:rPr>
        <w:t xml:space="preserve">and over several years plan to introduce the RLW into the vast supply chain that </w:t>
      </w:r>
      <w:r w:rsidR="00562231">
        <w:rPr>
          <w:rFonts w:cs="Arial"/>
        </w:rPr>
        <w:t xml:space="preserve">the Council </w:t>
      </w:r>
      <w:r w:rsidR="00FD7A8D">
        <w:rPr>
          <w:rFonts w:cs="Arial"/>
        </w:rPr>
        <w:t>engage.</w:t>
      </w:r>
    </w:p>
    <w:p w14:paraId="19FF6928" w14:textId="77777777" w:rsidR="003C1533" w:rsidRDefault="003C1533" w:rsidP="0065634D">
      <w:pPr>
        <w:rPr>
          <w:rFonts w:cs="Arial"/>
        </w:rPr>
      </w:pPr>
    </w:p>
    <w:p w14:paraId="73FCEA35" w14:textId="5FB026D2" w:rsidR="0065634D" w:rsidRPr="00FF3DEA" w:rsidRDefault="0065634D" w:rsidP="0065634D">
      <w:pPr>
        <w:rPr>
          <w:rFonts w:cs="Arial"/>
        </w:rPr>
      </w:pPr>
      <w:r w:rsidRPr="00FF3DEA">
        <w:rPr>
          <w:rFonts w:cs="Arial"/>
        </w:rPr>
        <w:t xml:space="preserve">Harrow Council spent just under £397m in 2020/2021 on third party contracting to deliver goods, works and services. Consequently, this gives us the ability to use our significant spending power to deliver social and economic benefits into the borough and support wider social and economic priorities. </w:t>
      </w:r>
    </w:p>
    <w:p w14:paraId="48B1DC61" w14:textId="77777777" w:rsidR="0065634D" w:rsidRDefault="0065634D" w:rsidP="0065634D">
      <w:pPr>
        <w:rPr>
          <w:rFonts w:cs="Arial"/>
        </w:rPr>
      </w:pPr>
    </w:p>
    <w:p w14:paraId="63BF5052" w14:textId="0C6FC254" w:rsidR="0065634D" w:rsidRDefault="0065634D" w:rsidP="0065634D">
      <w:pPr>
        <w:rPr>
          <w:rFonts w:cs="Arial"/>
        </w:rPr>
      </w:pPr>
      <w:r w:rsidRPr="00FF3DEA">
        <w:rPr>
          <w:rFonts w:cs="Arial"/>
        </w:rPr>
        <w:t xml:space="preserve">There exists a real tension between knowing and ‘believing in’ the social and economic value the payment of the </w:t>
      </w:r>
      <w:r w:rsidR="00002E9F">
        <w:rPr>
          <w:rFonts w:cs="Arial"/>
        </w:rPr>
        <w:t>RLW</w:t>
      </w:r>
      <w:r w:rsidRPr="00FF3DEA">
        <w:rPr>
          <w:rFonts w:cs="Arial"/>
        </w:rPr>
        <w:t xml:space="preserve"> can deliver on the one hand and being able to afford the additional financial pressure that introducing it</w:t>
      </w:r>
      <w:r w:rsidR="00D211E8">
        <w:rPr>
          <w:rFonts w:cs="Arial"/>
        </w:rPr>
        <w:t xml:space="preserve"> </w:t>
      </w:r>
      <w:r w:rsidRPr="00FF3DEA">
        <w:rPr>
          <w:rFonts w:cs="Arial"/>
        </w:rPr>
        <w:t>into our third-party contracts brings.</w:t>
      </w:r>
      <w:r w:rsidR="00105348">
        <w:rPr>
          <w:rFonts w:cs="Arial"/>
        </w:rPr>
        <w:t xml:space="preserve"> </w:t>
      </w:r>
      <w:r w:rsidRPr="00FF3DEA">
        <w:rPr>
          <w:rFonts w:cs="Arial"/>
        </w:rPr>
        <w:t xml:space="preserve">It is understood and accepted by most that paying a fair living wage is a key contributor to creating wider social and economic benefits. The potential to reduce food and fuel poverty, poor living conditions and social inequality stems from paying a fair living wage.  </w:t>
      </w:r>
    </w:p>
    <w:p w14:paraId="3D7956C5" w14:textId="77777777" w:rsidR="0065634D" w:rsidRDefault="0065634D" w:rsidP="0065634D">
      <w:pPr>
        <w:rPr>
          <w:rFonts w:cs="Arial"/>
        </w:rPr>
      </w:pPr>
    </w:p>
    <w:p w14:paraId="73029C81" w14:textId="77777777" w:rsidR="0065634D" w:rsidRDefault="0065634D" w:rsidP="0065634D">
      <w:pPr>
        <w:rPr>
          <w:rFonts w:cs="Arial"/>
        </w:rPr>
      </w:pPr>
      <w:r w:rsidRPr="0010531C">
        <w:rPr>
          <w:rFonts w:cs="Arial"/>
        </w:rPr>
        <w:t>The Council’s objectives to tackle poverty and inequality, as stated in the Borough Plan are:</w:t>
      </w:r>
    </w:p>
    <w:p w14:paraId="463AF201" w14:textId="77777777" w:rsidR="0065634D" w:rsidRDefault="0065634D" w:rsidP="0065634D">
      <w:pPr>
        <w:rPr>
          <w:rFonts w:cs="Arial"/>
        </w:rPr>
      </w:pPr>
    </w:p>
    <w:p w14:paraId="5E62F4FE" w14:textId="77777777" w:rsidR="0065634D" w:rsidRDefault="0065634D" w:rsidP="00A52892">
      <w:pPr>
        <w:pStyle w:val="ListParagraph"/>
        <w:numPr>
          <w:ilvl w:val="0"/>
          <w:numId w:val="10"/>
        </w:numPr>
        <w:spacing w:after="160" w:line="259" w:lineRule="auto"/>
        <w:contextualSpacing/>
        <w:rPr>
          <w:rFonts w:cs="Arial"/>
        </w:rPr>
      </w:pPr>
      <w:r w:rsidRPr="0010531C">
        <w:rPr>
          <w:rFonts w:cs="Arial"/>
        </w:rPr>
        <w:t xml:space="preserve">All children </w:t>
      </w:r>
      <w:proofErr w:type="gramStart"/>
      <w:r w:rsidRPr="0010531C">
        <w:rPr>
          <w:rFonts w:cs="Arial"/>
        </w:rPr>
        <w:t>are able to</w:t>
      </w:r>
      <w:proofErr w:type="gramEnd"/>
      <w:r w:rsidRPr="0010531C">
        <w:rPr>
          <w:rFonts w:cs="Arial"/>
        </w:rPr>
        <w:t xml:space="preserve"> live in homes where the family has the opportunity of earning a good household income</w:t>
      </w:r>
    </w:p>
    <w:p w14:paraId="155D8BF1" w14:textId="77777777" w:rsidR="0065634D" w:rsidRPr="0010531C" w:rsidRDefault="0065634D" w:rsidP="0065634D">
      <w:pPr>
        <w:pStyle w:val="ListParagraph"/>
        <w:spacing w:after="160" w:line="259" w:lineRule="auto"/>
        <w:contextualSpacing/>
        <w:rPr>
          <w:rFonts w:cs="Arial"/>
        </w:rPr>
      </w:pPr>
    </w:p>
    <w:p w14:paraId="40CE63F5" w14:textId="77777777" w:rsidR="0065634D" w:rsidRDefault="0065634D" w:rsidP="00A52892">
      <w:pPr>
        <w:pStyle w:val="ListParagraph"/>
        <w:numPr>
          <w:ilvl w:val="0"/>
          <w:numId w:val="10"/>
        </w:numPr>
        <w:spacing w:after="160" w:line="259" w:lineRule="auto"/>
        <w:contextualSpacing/>
        <w:rPr>
          <w:rFonts w:cs="Arial"/>
        </w:rPr>
      </w:pPr>
      <w:r w:rsidRPr="0010531C">
        <w:rPr>
          <w:rFonts w:cs="Arial"/>
        </w:rPr>
        <w:t>Everyone has a home suitable for their needs</w:t>
      </w:r>
    </w:p>
    <w:p w14:paraId="48DD8BD0" w14:textId="77777777" w:rsidR="0065634D" w:rsidRPr="00427BED" w:rsidRDefault="0065634D" w:rsidP="0065634D">
      <w:pPr>
        <w:pStyle w:val="ListParagraph"/>
        <w:rPr>
          <w:rFonts w:cs="Arial"/>
        </w:rPr>
      </w:pPr>
    </w:p>
    <w:p w14:paraId="76499449" w14:textId="1B0A029D" w:rsidR="0065634D" w:rsidRDefault="0065634D" w:rsidP="00A52892">
      <w:pPr>
        <w:pStyle w:val="ListParagraph"/>
        <w:numPr>
          <w:ilvl w:val="0"/>
          <w:numId w:val="10"/>
        </w:numPr>
        <w:spacing w:after="160" w:line="259" w:lineRule="auto"/>
        <w:contextualSpacing/>
        <w:rPr>
          <w:rFonts w:cs="Arial"/>
        </w:rPr>
      </w:pPr>
      <w:r w:rsidRPr="0010531C">
        <w:rPr>
          <w:rFonts w:cs="Arial"/>
        </w:rPr>
        <w:t>All people wanting to work</w:t>
      </w:r>
      <w:r w:rsidR="00A1448A">
        <w:rPr>
          <w:rFonts w:cs="Arial"/>
        </w:rPr>
        <w:t>,</w:t>
      </w:r>
      <w:r w:rsidRPr="0010531C">
        <w:rPr>
          <w:rFonts w:cs="Arial"/>
        </w:rPr>
        <w:t xml:space="preserve"> have a job that pays above </w:t>
      </w:r>
      <w:r w:rsidR="002326D6">
        <w:rPr>
          <w:rFonts w:cs="Arial"/>
        </w:rPr>
        <w:t>R</w:t>
      </w:r>
      <w:r w:rsidRPr="0010531C">
        <w:rPr>
          <w:rFonts w:cs="Arial"/>
        </w:rPr>
        <w:t>LW and are employed on a contract that meets their requirements</w:t>
      </w:r>
    </w:p>
    <w:p w14:paraId="7FCA99AB" w14:textId="77777777" w:rsidR="0065634D" w:rsidRPr="0010531C" w:rsidRDefault="0065634D" w:rsidP="0065634D">
      <w:pPr>
        <w:pStyle w:val="ListParagraph"/>
        <w:spacing w:after="160" w:line="259" w:lineRule="auto"/>
        <w:contextualSpacing/>
        <w:rPr>
          <w:rFonts w:cs="Arial"/>
        </w:rPr>
      </w:pPr>
    </w:p>
    <w:p w14:paraId="1A763DB8" w14:textId="77777777" w:rsidR="0065634D" w:rsidRPr="0010531C" w:rsidRDefault="0065634D" w:rsidP="00A52892">
      <w:pPr>
        <w:pStyle w:val="ListParagraph"/>
        <w:numPr>
          <w:ilvl w:val="0"/>
          <w:numId w:val="10"/>
        </w:numPr>
        <w:spacing w:after="160" w:line="259" w:lineRule="auto"/>
        <w:contextualSpacing/>
        <w:rPr>
          <w:rFonts w:cs="Arial"/>
        </w:rPr>
      </w:pPr>
      <w:r w:rsidRPr="0010531C">
        <w:rPr>
          <w:rFonts w:cs="Arial"/>
        </w:rPr>
        <w:t>Households live free of unsustainable debt</w:t>
      </w:r>
    </w:p>
    <w:p w14:paraId="76168D48" w14:textId="4F14CE5B" w:rsidR="001C7E35" w:rsidRPr="00CE2F9F" w:rsidRDefault="00A13F4C" w:rsidP="00CE2F9F">
      <w:pPr>
        <w:pStyle w:val="Heading3"/>
        <w:spacing w:before="240"/>
        <w:ind w:left="0" w:firstLine="0"/>
        <w:jc w:val="left"/>
        <w:rPr>
          <w:sz w:val="24"/>
          <w:szCs w:val="24"/>
        </w:rPr>
      </w:pPr>
      <w:r>
        <w:rPr>
          <w:sz w:val="24"/>
          <w:szCs w:val="24"/>
        </w:rPr>
        <w:t>Current Position at Harrow</w:t>
      </w:r>
    </w:p>
    <w:p w14:paraId="163E2502" w14:textId="262A4B88" w:rsidR="001801D5" w:rsidRDefault="001801D5" w:rsidP="001801D5">
      <w:pPr>
        <w:pStyle w:val="Heading2"/>
        <w:spacing w:before="240"/>
        <w:rPr>
          <w:rFonts w:ascii="Arial" w:hAnsi="Arial" w:cs="Times New Roman"/>
          <w:b w:val="0"/>
          <w:bCs w:val="0"/>
          <w:sz w:val="24"/>
          <w:szCs w:val="20"/>
        </w:rPr>
      </w:pPr>
      <w:r w:rsidRPr="00C25F3D">
        <w:rPr>
          <w:rFonts w:ascii="Arial" w:hAnsi="Arial" w:cs="Times New Roman"/>
          <w:b w:val="0"/>
          <w:bCs w:val="0"/>
          <w:sz w:val="24"/>
          <w:szCs w:val="20"/>
        </w:rPr>
        <w:t>As part</w:t>
      </w:r>
      <w:r>
        <w:rPr>
          <w:rFonts w:ascii="Arial" w:hAnsi="Arial" w:cs="Times New Roman"/>
          <w:b w:val="0"/>
          <w:bCs w:val="0"/>
          <w:sz w:val="24"/>
          <w:szCs w:val="20"/>
        </w:rPr>
        <w:t xml:space="preserve"> of our Council’s vision to creat</w:t>
      </w:r>
      <w:r w:rsidR="00073008">
        <w:rPr>
          <w:rFonts w:ascii="Arial" w:hAnsi="Arial" w:cs="Times New Roman"/>
          <w:b w:val="0"/>
          <w:bCs w:val="0"/>
          <w:sz w:val="24"/>
          <w:szCs w:val="20"/>
        </w:rPr>
        <w:t>e</w:t>
      </w:r>
      <w:r>
        <w:rPr>
          <w:rFonts w:ascii="Arial" w:hAnsi="Arial" w:cs="Times New Roman"/>
          <w:b w:val="0"/>
          <w:bCs w:val="0"/>
          <w:sz w:val="24"/>
          <w:szCs w:val="20"/>
        </w:rPr>
        <w:t xml:space="preserve"> a fairer future, </w:t>
      </w:r>
      <w:r w:rsidR="008311B3">
        <w:rPr>
          <w:rFonts w:ascii="Arial" w:hAnsi="Arial" w:cs="Times New Roman"/>
          <w:b w:val="0"/>
          <w:bCs w:val="0"/>
          <w:sz w:val="24"/>
          <w:szCs w:val="20"/>
        </w:rPr>
        <w:t xml:space="preserve">the Council </w:t>
      </w:r>
      <w:r>
        <w:rPr>
          <w:rFonts w:ascii="Arial" w:hAnsi="Arial" w:cs="Times New Roman"/>
          <w:b w:val="0"/>
          <w:bCs w:val="0"/>
          <w:sz w:val="24"/>
          <w:szCs w:val="20"/>
        </w:rPr>
        <w:t xml:space="preserve">have since 2013 adopted, as a minimum the payment of the LLW to all employees. Over subsequent years, when necessary, </w:t>
      </w:r>
      <w:r w:rsidR="007B3C47">
        <w:rPr>
          <w:rFonts w:ascii="Arial" w:hAnsi="Arial" w:cs="Times New Roman"/>
          <w:b w:val="0"/>
          <w:bCs w:val="0"/>
          <w:sz w:val="24"/>
          <w:szCs w:val="20"/>
        </w:rPr>
        <w:t xml:space="preserve">the Council </w:t>
      </w:r>
      <w:r>
        <w:rPr>
          <w:rFonts w:ascii="Arial" w:hAnsi="Arial" w:cs="Times New Roman"/>
          <w:b w:val="0"/>
          <w:bCs w:val="0"/>
          <w:sz w:val="24"/>
          <w:szCs w:val="20"/>
        </w:rPr>
        <w:t xml:space="preserve">have deleted the lower points on </w:t>
      </w:r>
      <w:r w:rsidR="007B3C47">
        <w:rPr>
          <w:rFonts w:ascii="Arial" w:hAnsi="Arial" w:cs="Times New Roman"/>
          <w:b w:val="0"/>
          <w:bCs w:val="0"/>
          <w:sz w:val="24"/>
          <w:szCs w:val="20"/>
        </w:rPr>
        <w:t>the</w:t>
      </w:r>
      <w:r>
        <w:rPr>
          <w:rFonts w:ascii="Arial" w:hAnsi="Arial" w:cs="Times New Roman"/>
          <w:b w:val="0"/>
          <w:bCs w:val="0"/>
          <w:sz w:val="24"/>
          <w:szCs w:val="20"/>
        </w:rPr>
        <w:t xml:space="preserve"> pay scale to uplift staff to the prevailing LLW. Harrow schools adopted the scales for non-teaching staff and therefore also pay the LLW as </w:t>
      </w:r>
      <w:r w:rsidR="00EE7F75">
        <w:rPr>
          <w:rFonts w:ascii="Arial" w:hAnsi="Arial" w:cs="Times New Roman"/>
          <w:b w:val="0"/>
          <w:bCs w:val="0"/>
          <w:sz w:val="24"/>
          <w:szCs w:val="20"/>
        </w:rPr>
        <w:t>an</w:t>
      </w:r>
      <w:r>
        <w:rPr>
          <w:rFonts w:ascii="Arial" w:hAnsi="Arial" w:cs="Times New Roman"/>
          <w:b w:val="0"/>
          <w:bCs w:val="0"/>
          <w:sz w:val="24"/>
          <w:szCs w:val="20"/>
        </w:rPr>
        <w:t xml:space="preserve"> hourly minimum. In total over 5800 Harrow employees are benefitting from receiving a salary consistent with a fair wage to be able to live on.</w:t>
      </w:r>
    </w:p>
    <w:p w14:paraId="40EACBEC" w14:textId="351B464D" w:rsidR="001801D5" w:rsidRDefault="001801D5" w:rsidP="001801D5">
      <w:pPr>
        <w:pStyle w:val="Heading2"/>
        <w:spacing w:before="240"/>
        <w:rPr>
          <w:rFonts w:ascii="Arial" w:hAnsi="Arial" w:cs="Times New Roman"/>
          <w:b w:val="0"/>
          <w:bCs w:val="0"/>
          <w:sz w:val="24"/>
          <w:szCs w:val="20"/>
        </w:rPr>
      </w:pPr>
      <w:r>
        <w:rPr>
          <w:rFonts w:ascii="Arial" w:hAnsi="Arial" w:cs="Times New Roman"/>
          <w:b w:val="0"/>
          <w:bCs w:val="0"/>
          <w:sz w:val="24"/>
          <w:szCs w:val="20"/>
        </w:rPr>
        <w:t>The uplift in the LLW takes place in November of each year and the Council implements any uplift by the April of the following year. As of today, the current LLW rate is £10.85 and the lowest point on our pay scale pays £10.89.</w:t>
      </w:r>
      <w:r w:rsidR="001C42B3">
        <w:rPr>
          <w:rFonts w:ascii="Arial" w:hAnsi="Arial" w:cs="Times New Roman"/>
          <w:b w:val="0"/>
          <w:bCs w:val="0"/>
          <w:sz w:val="24"/>
          <w:szCs w:val="20"/>
        </w:rPr>
        <w:t xml:space="preserve"> </w:t>
      </w:r>
      <w:r w:rsidR="00D55E97">
        <w:rPr>
          <w:rFonts w:ascii="Arial" w:hAnsi="Arial" w:cs="Times New Roman"/>
          <w:b w:val="0"/>
          <w:bCs w:val="0"/>
          <w:sz w:val="24"/>
          <w:szCs w:val="20"/>
        </w:rPr>
        <w:t>However</w:t>
      </w:r>
      <w:r w:rsidR="0057019A">
        <w:rPr>
          <w:rFonts w:ascii="Arial" w:hAnsi="Arial" w:cs="Times New Roman"/>
          <w:b w:val="0"/>
          <w:bCs w:val="0"/>
          <w:sz w:val="24"/>
          <w:szCs w:val="20"/>
        </w:rPr>
        <w:t>,</w:t>
      </w:r>
      <w:r w:rsidR="00D55E97">
        <w:rPr>
          <w:rFonts w:ascii="Arial" w:hAnsi="Arial" w:cs="Times New Roman"/>
          <w:b w:val="0"/>
          <w:bCs w:val="0"/>
          <w:sz w:val="24"/>
          <w:szCs w:val="20"/>
        </w:rPr>
        <w:t xml:space="preserve"> the 2021/2022 </w:t>
      </w:r>
      <w:r w:rsidR="00F77BAE">
        <w:rPr>
          <w:rFonts w:ascii="Arial" w:hAnsi="Arial" w:cs="Times New Roman"/>
          <w:b w:val="0"/>
          <w:bCs w:val="0"/>
          <w:sz w:val="24"/>
          <w:szCs w:val="20"/>
        </w:rPr>
        <w:t xml:space="preserve">LLW </w:t>
      </w:r>
      <w:r w:rsidR="00D55E97">
        <w:rPr>
          <w:rFonts w:ascii="Arial" w:hAnsi="Arial" w:cs="Times New Roman"/>
          <w:b w:val="0"/>
          <w:bCs w:val="0"/>
          <w:sz w:val="24"/>
          <w:szCs w:val="20"/>
        </w:rPr>
        <w:t xml:space="preserve">rate </w:t>
      </w:r>
      <w:r w:rsidR="00F77BAE">
        <w:rPr>
          <w:rFonts w:ascii="Arial" w:hAnsi="Arial" w:cs="Times New Roman"/>
          <w:b w:val="0"/>
          <w:bCs w:val="0"/>
          <w:sz w:val="24"/>
          <w:szCs w:val="20"/>
        </w:rPr>
        <w:t>has</w:t>
      </w:r>
      <w:r w:rsidR="00D55E97">
        <w:rPr>
          <w:rFonts w:ascii="Arial" w:hAnsi="Arial" w:cs="Times New Roman"/>
          <w:b w:val="0"/>
          <w:bCs w:val="0"/>
          <w:sz w:val="24"/>
          <w:szCs w:val="20"/>
        </w:rPr>
        <w:t xml:space="preserve"> been announced as £11.05 </w:t>
      </w:r>
      <w:r w:rsidR="00384AD0">
        <w:rPr>
          <w:rFonts w:ascii="Arial" w:hAnsi="Arial" w:cs="Times New Roman"/>
          <w:b w:val="0"/>
          <w:bCs w:val="0"/>
          <w:sz w:val="24"/>
          <w:szCs w:val="20"/>
        </w:rPr>
        <w:t>so the Council will implement the new rate in April 2022.</w:t>
      </w:r>
    </w:p>
    <w:p w14:paraId="44AF5AE0" w14:textId="77777777" w:rsidR="001801D5" w:rsidRDefault="001801D5" w:rsidP="001C7E35"/>
    <w:p w14:paraId="5F275FCA" w14:textId="67918009" w:rsidR="0024772B" w:rsidRDefault="007047F4" w:rsidP="001C7E35">
      <w:r>
        <w:t xml:space="preserve">At a meeting </w:t>
      </w:r>
      <w:r w:rsidR="00F22795">
        <w:t>of Council on the 26</w:t>
      </w:r>
      <w:r w:rsidR="00F22795" w:rsidRPr="00F22795">
        <w:rPr>
          <w:vertAlign w:val="superscript"/>
        </w:rPr>
        <w:t>th</w:t>
      </w:r>
      <w:r w:rsidR="00F22795">
        <w:t xml:space="preserve"> November 2020</w:t>
      </w:r>
      <w:r w:rsidR="0070680F">
        <w:t xml:space="preserve"> a</w:t>
      </w:r>
      <w:r w:rsidR="004469DF">
        <w:t xml:space="preserve"> </w:t>
      </w:r>
      <w:r w:rsidR="0070680F">
        <w:t xml:space="preserve">motion was agreed </w:t>
      </w:r>
      <w:r w:rsidR="00C74F2F">
        <w:t>as follow</w:t>
      </w:r>
      <w:r w:rsidR="004D3E9F">
        <w:t>s</w:t>
      </w:r>
      <w:r w:rsidR="00C74F2F">
        <w:t>:</w:t>
      </w:r>
    </w:p>
    <w:p w14:paraId="2B653853" w14:textId="652E945A" w:rsidR="00C74F2F" w:rsidRDefault="00C74F2F" w:rsidP="001C7E35"/>
    <w:p w14:paraId="0F6919BE" w14:textId="77777777" w:rsidR="00C74F2F" w:rsidRDefault="00C74F2F" w:rsidP="001C7E35">
      <w:r>
        <w:t xml:space="preserve">This Council resolves to: </w:t>
      </w:r>
    </w:p>
    <w:p w14:paraId="553B7A04" w14:textId="77777777" w:rsidR="00D87D4E" w:rsidRDefault="00D87D4E" w:rsidP="001C7E35"/>
    <w:p w14:paraId="0A48B758" w14:textId="77777777" w:rsidR="00422051" w:rsidRDefault="00C74F2F" w:rsidP="00A52892">
      <w:pPr>
        <w:pStyle w:val="ListParagraph"/>
        <w:numPr>
          <w:ilvl w:val="0"/>
          <w:numId w:val="8"/>
        </w:numPr>
      </w:pPr>
      <w:r>
        <w:t>Seek accreditation as a Living Wage employer with the Living Wage Foundation</w:t>
      </w:r>
    </w:p>
    <w:p w14:paraId="5CB405FC" w14:textId="4B655A5E" w:rsidR="00D87D4E" w:rsidRDefault="00C74F2F" w:rsidP="00422051">
      <w:pPr>
        <w:pStyle w:val="ListParagraph"/>
      </w:pPr>
      <w:r>
        <w:t xml:space="preserve"> </w:t>
      </w:r>
    </w:p>
    <w:p w14:paraId="05DB5C02" w14:textId="39309A5B" w:rsidR="00422051" w:rsidRDefault="00C74F2F" w:rsidP="00A52892">
      <w:pPr>
        <w:pStyle w:val="ListParagraph"/>
        <w:numPr>
          <w:ilvl w:val="0"/>
          <w:numId w:val="8"/>
        </w:numPr>
      </w:pPr>
      <w:r>
        <w:t xml:space="preserve">Ensure all staff employed by the Council are paid the </w:t>
      </w:r>
      <w:r w:rsidR="00151DA6">
        <w:t>R</w:t>
      </w:r>
      <w:r>
        <w:t>eal Living Wage</w:t>
      </w:r>
    </w:p>
    <w:p w14:paraId="199A685C" w14:textId="77777777" w:rsidR="00422051" w:rsidRDefault="00422051" w:rsidP="00422051">
      <w:pPr>
        <w:pStyle w:val="ListParagraph"/>
      </w:pPr>
    </w:p>
    <w:p w14:paraId="46FE367C" w14:textId="65763E95" w:rsidR="00C74F2F" w:rsidRDefault="00C74F2F" w:rsidP="00A52892">
      <w:pPr>
        <w:pStyle w:val="ListParagraph"/>
        <w:numPr>
          <w:ilvl w:val="0"/>
          <w:numId w:val="8"/>
        </w:numPr>
      </w:pPr>
      <w:r>
        <w:t xml:space="preserve">Develop a plan for all contractors to pay their staff the </w:t>
      </w:r>
      <w:r w:rsidR="009C628D">
        <w:t>R</w:t>
      </w:r>
      <w:r>
        <w:t>eal Living Wage over time, recognising the dependency on the Council’s budget settlement from central government for 2021/22 and beyond.</w:t>
      </w:r>
    </w:p>
    <w:p w14:paraId="0A4920A8" w14:textId="32767E43" w:rsidR="0024772B" w:rsidRDefault="0024772B" w:rsidP="001C7E35"/>
    <w:p w14:paraId="06D690C8" w14:textId="6330149D" w:rsidR="0024772B" w:rsidRDefault="00B73B19" w:rsidP="001C7E35">
      <w:r>
        <w:t xml:space="preserve">The recommendations set out </w:t>
      </w:r>
      <w:r w:rsidR="007A4B63">
        <w:t>at the front of this report seek to deliver the intent of this motion</w:t>
      </w:r>
      <w:r w:rsidR="004E3902">
        <w:t>.</w:t>
      </w:r>
      <w:r w:rsidR="007A4B63">
        <w:t xml:space="preserve"> </w:t>
      </w:r>
    </w:p>
    <w:p w14:paraId="4693A8EC" w14:textId="26975EED" w:rsidR="00F63DFF" w:rsidRDefault="00F63DFF" w:rsidP="001C7E35"/>
    <w:p w14:paraId="253150B1" w14:textId="5C49EB95" w:rsidR="00F12904" w:rsidRPr="00A374CB" w:rsidRDefault="00F12904" w:rsidP="001C7E35">
      <w:pPr>
        <w:rPr>
          <w:u w:val="single"/>
        </w:rPr>
      </w:pPr>
      <w:r w:rsidRPr="00A374CB">
        <w:rPr>
          <w:u w:val="single"/>
        </w:rPr>
        <w:t xml:space="preserve">Our Supply </w:t>
      </w:r>
      <w:r w:rsidR="009B1EBD">
        <w:rPr>
          <w:u w:val="single"/>
        </w:rPr>
        <w:t>C</w:t>
      </w:r>
      <w:r w:rsidRPr="00A374CB">
        <w:rPr>
          <w:u w:val="single"/>
        </w:rPr>
        <w:t xml:space="preserve">hain and the </w:t>
      </w:r>
      <w:r w:rsidR="00602BC6">
        <w:rPr>
          <w:u w:val="single"/>
        </w:rPr>
        <w:t>Real</w:t>
      </w:r>
      <w:r w:rsidRPr="00A374CB">
        <w:rPr>
          <w:u w:val="single"/>
        </w:rPr>
        <w:t xml:space="preserve"> Living Wage:</w:t>
      </w:r>
    </w:p>
    <w:p w14:paraId="5D83B638" w14:textId="77777777" w:rsidR="002701A7" w:rsidRDefault="002701A7" w:rsidP="002701A7">
      <w:pPr>
        <w:rPr>
          <w:rFonts w:cs="Arial"/>
        </w:rPr>
      </w:pPr>
    </w:p>
    <w:p w14:paraId="16B68852" w14:textId="5F98592E" w:rsidR="00F12904" w:rsidRDefault="002701A7" w:rsidP="001C7E35">
      <w:pPr>
        <w:rPr>
          <w:rFonts w:cs="Arial"/>
        </w:rPr>
      </w:pPr>
      <w:r w:rsidRPr="00FF3DEA">
        <w:rPr>
          <w:rFonts w:cs="Arial"/>
        </w:rPr>
        <w:t xml:space="preserve">Harrow Council spent just under £397m in 2020/2021 on third party contracting to deliver goods, works and services. Consequently, this gives us the ability to use our significant spending power to deliver </w:t>
      </w:r>
      <w:r w:rsidR="00862E81">
        <w:rPr>
          <w:rFonts w:cs="Arial"/>
        </w:rPr>
        <w:t xml:space="preserve">macro and micro </w:t>
      </w:r>
      <w:r w:rsidRPr="00FF3DEA">
        <w:rPr>
          <w:rFonts w:cs="Arial"/>
        </w:rPr>
        <w:t xml:space="preserve">social and economic benefits into the borough and support wider </w:t>
      </w:r>
      <w:r w:rsidR="00222C55">
        <w:rPr>
          <w:rFonts w:cs="Arial"/>
        </w:rPr>
        <w:t xml:space="preserve">national </w:t>
      </w:r>
      <w:r w:rsidRPr="00FF3DEA">
        <w:rPr>
          <w:rFonts w:cs="Arial"/>
        </w:rPr>
        <w:t>social and economic priorities</w:t>
      </w:r>
      <w:r w:rsidR="00135FAE">
        <w:rPr>
          <w:rFonts w:cs="Arial"/>
        </w:rPr>
        <w:t xml:space="preserve"> through the introduction of </w:t>
      </w:r>
      <w:r w:rsidR="00CC5736">
        <w:rPr>
          <w:rFonts w:cs="Arial"/>
        </w:rPr>
        <w:t>paying the</w:t>
      </w:r>
      <w:r w:rsidR="003B59D6">
        <w:rPr>
          <w:rFonts w:cs="Arial"/>
        </w:rPr>
        <w:t xml:space="preserve"> RLW</w:t>
      </w:r>
      <w:r w:rsidR="00CC5736">
        <w:rPr>
          <w:rFonts w:cs="Arial"/>
        </w:rPr>
        <w:t xml:space="preserve"> into our supply chain.</w:t>
      </w:r>
    </w:p>
    <w:p w14:paraId="660F1ABA" w14:textId="77777777" w:rsidR="00F86FD4" w:rsidRDefault="00F86FD4" w:rsidP="001C7E35"/>
    <w:p w14:paraId="5931AF96" w14:textId="24B2CA86" w:rsidR="00FA0128" w:rsidRDefault="00076672" w:rsidP="00FB5219">
      <w:pPr>
        <w:rPr>
          <w:rFonts w:cs="Arial"/>
        </w:rPr>
      </w:pPr>
      <w:r>
        <w:rPr>
          <w:rFonts w:cs="Arial"/>
        </w:rPr>
        <w:t>Extensive w</w:t>
      </w:r>
      <w:r w:rsidR="00452A9F">
        <w:rPr>
          <w:rFonts w:cs="Arial"/>
        </w:rPr>
        <w:t xml:space="preserve">ork </w:t>
      </w:r>
      <w:r>
        <w:rPr>
          <w:rFonts w:cs="Arial"/>
        </w:rPr>
        <w:t xml:space="preserve">has been </w:t>
      </w:r>
      <w:r w:rsidR="00452A9F">
        <w:rPr>
          <w:rFonts w:cs="Arial"/>
        </w:rPr>
        <w:t xml:space="preserve">undertaken to </w:t>
      </w:r>
      <w:r w:rsidR="00F30091">
        <w:rPr>
          <w:rFonts w:cs="Arial"/>
        </w:rPr>
        <w:t>review</w:t>
      </w:r>
      <w:r w:rsidR="00452A9F">
        <w:rPr>
          <w:rFonts w:cs="Arial"/>
        </w:rPr>
        <w:t xml:space="preserve"> the</w:t>
      </w:r>
      <w:r w:rsidR="00F30091">
        <w:rPr>
          <w:rFonts w:cs="Arial"/>
        </w:rPr>
        <w:t xml:space="preserve"> Council’s</w:t>
      </w:r>
      <w:r w:rsidR="00452A9F">
        <w:rPr>
          <w:rFonts w:cs="Arial"/>
        </w:rPr>
        <w:t xml:space="preserve"> </w:t>
      </w:r>
      <w:r w:rsidR="00066F7D">
        <w:rPr>
          <w:rFonts w:cs="Arial"/>
        </w:rPr>
        <w:t>current contracts</w:t>
      </w:r>
      <w:r w:rsidR="008541B1">
        <w:rPr>
          <w:rFonts w:cs="Arial"/>
        </w:rPr>
        <w:t xml:space="preserve"> and place them in one</w:t>
      </w:r>
      <w:r w:rsidR="00FA0128">
        <w:rPr>
          <w:rFonts w:cs="Arial"/>
        </w:rPr>
        <w:t xml:space="preserve"> of the following </w:t>
      </w:r>
      <w:r w:rsidR="00967225">
        <w:rPr>
          <w:rFonts w:cs="Arial"/>
        </w:rPr>
        <w:t>categories</w:t>
      </w:r>
      <w:r w:rsidR="00FA0128">
        <w:rPr>
          <w:rFonts w:cs="Arial"/>
        </w:rPr>
        <w:t>:</w:t>
      </w:r>
    </w:p>
    <w:p w14:paraId="7A102E59" w14:textId="59CF0AF6" w:rsidR="004A7660" w:rsidRDefault="004A7660" w:rsidP="00FB5219">
      <w:pPr>
        <w:rPr>
          <w:rFonts w:cs="Arial"/>
        </w:rPr>
      </w:pPr>
    </w:p>
    <w:p w14:paraId="76E4584E" w14:textId="77777777" w:rsidR="004A7660" w:rsidRDefault="004A7660" w:rsidP="00FB5219">
      <w:pPr>
        <w:rPr>
          <w:rFonts w:cs="Arial"/>
        </w:rPr>
      </w:pPr>
    </w:p>
    <w:p w14:paraId="0025F0D1" w14:textId="30B7AEC6" w:rsidR="00FA0128" w:rsidRDefault="00FA0128" w:rsidP="00FB5219">
      <w:pPr>
        <w:rPr>
          <w:rFonts w:cs="Arial"/>
        </w:rPr>
      </w:pPr>
    </w:p>
    <w:tbl>
      <w:tblPr>
        <w:tblStyle w:val="TableGrid"/>
        <w:tblW w:w="9209" w:type="dxa"/>
        <w:tblLook w:val="04A0" w:firstRow="1" w:lastRow="0" w:firstColumn="1" w:lastColumn="0" w:noHBand="0" w:noVBand="1"/>
      </w:tblPr>
      <w:tblGrid>
        <w:gridCol w:w="1083"/>
        <w:gridCol w:w="3044"/>
        <w:gridCol w:w="1018"/>
        <w:gridCol w:w="4064"/>
      </w:tblGrid>
      <w:tr w:rsidR="00B327DD" w:rsidRPr="00E9335B" w14:paraId="34EEE1DB" w14:textId="77777777" w:rsidTr="0014497E">
        <w:tc>
          <w:tcPr>
            <w:tcW w:w="817" w:type="dxa"/>
          </w:tcPr>
          <w:p w14:paraId="78715EBE" w14:textId="3836A8B1" w:rsidR="00B327DD" w:rsidRPr="00E9335B" w:rsidRDefault="00041E41" w:rsidP="00FB5219">
            <w:pPr>
              <w:rPr>
                <w:rFonts w:cs="Arial"/>
                <w:b/>
                <w:bCs/>
                <w:sz w:val="20"/>
              </w:rPr>
            </w:pPr>
            <w:r>
              <w:rPr>
                <w:rFonts w:cs="Arial"/>
                <w:b/>
                <w:bCs/>
                <w:sz w:val="20"/>
              </w:rPr>
              <w:t>Category</w:t>
            </w:r>
          </w:p>
        </w:tc>
        <w:tc>
          <w:tcPr>
            <w:tcW w:w="3163" w:type="dxa"/>
          </w:tcPr>
          <w:p w14:paraId="7DB01948" w14:textId="32761E33" w:rsidR="00B327DD" w:rsidRPr="00E9335B" w:rsidRDefault="00B327DD" w:rsidP="00FB5219">
            <w:pPr>
              <w:rPr>
                <w:rFonts w:cs="Arial"/>
                <w:b/>
                <w:bCs/>
                <w:sz w:val="20"/>
              </w:rPr>
            </w:pPr>
            <w:r w:rsidRPr="00E9335B">
              <w:rPr>
                <w:rFonts w:cs="Arial"/>
                <w:b/>
                <w:bCs/>
                <w:sz w:val="20"/>
              </w:rPr>
              <w:t>Category</w:t>
            </w:r>
          </w:p>
        </w:tc>
        <w:tc>
          <w:tcPr>
            <w:tcW w:w="1021" w:type="dxa"/>
          </w:tcPr>
          <w:p w14:paraId="67C6E38D" w14:textId="28FA2EFF" w:rsidR="00B327DD" w:rsidRPr="00E9335B" w:rsidRDefault="00B327DD" w:rsidP="00FB5219">
            <w:pPr>
              <w:rPr>
                <w:rFonts w:cs="Arial"/>
                <w:b/>
                <w:bCs/>
                <w:sz w:val="20"/>
              </w:rPr>
            </w:pPr>
            <w:r w:rsidRPr="00E9335B">
              <w:rPr>
                <w:rFonts w:cs="Arial"/>
                <w:b/>
                <w:bCs/>
                <w:sz w:val="20"/>
              </w:rPr>
              <w:t>Number</w:t>
            </w:r>
          </w:p>
        </w:tc>
        <w:tc>
          <w:tcPr>
            <w:tcW w:w="4208" w:type="dxa"/>
          </w:tcPr>
          <w:p w14:paraId="541496ED" w14:textId="01F28B66" w:rsidR="00B327DD" w:rsidRPr="00E9335B" w:rsidRDefault="00B327DD" w:rsidP="00FB5219">
            <w:pPr>
              <w:rPr>
                <w:rFonts w:cs="Arial"/>
                <w:b/>
                <w:bCs/>
                <w:sz w:val="20"/>
              </w:rPr>
            </w:pPr>
            <w:r w:rsidRPr="00E9335B">
              <w:rPr>
                <w:rFonts w:cs="Arial"/>
                <w:b/>
                <w:bCs/>
                <w:sz w:val="20"/>
              </w:rPr>
              <w:t>Comment</w:t>
            </w:r>
          </w:p>
        </w:tc>
      </w:tr>
      <w:tr w:rsidR="00B327DD" w:rsidRPr="0090606D" w14:paraId="7375E3C8" w14:textId="77777777" w:rsidTr="0014497E">
        <w:tc>
          <w:tcPr>
            <w:tcW w:w="817" w:type="dxa"/>
          </w:tcPr>
          <w:p w14:paraId="1C3062A9" w14:textId="24D944E8" w:rsidR="00B327DD" w:rsidRPr="0090606D" w:rsidRDefault="00B327DD" w:rsidP="00FB5219">
            <w:pPr>
              <w:rPr>
                <w:rFonts w:cs="Arial"/>
                <w:sz w:val="20"/>
              </w:rPr>
            </w:pPr>
            <w:r>
              <w:rPr>
                <w:rFonts w:cs="Arial"/>
                <w:sz w:val="20"/>
              </w:rPr>
              <w:t>1</w:t>
            </w:r>
          </w:p>
        </w:tc>
        <w:tc>
          <w:tcPr>
            <w:tcW w:w="3163" w:type="dxa"/>
          </w:tcPr>
          <w:p w14:paraId="4B5B6DA4" w14:textId="7EEDAEDB" w:rsidR="00B327DD" w:rsidRPr="0090606D" w:rsidRDefault="00B327DD" w:rsidP="00FB5219">
            <w:pPr>
              <w:rPr>
                <w:rFonts w:cs="Arial"/>
                <w:sz w:val="20"/>
              </w:rPr>
            </w:pPr>
            <w:r w:rsidRPr="0090606D">
              <w:rPr>
                <w:rFonts w:cs="Arial"/>
                <w:sz w:val="20"/>
              </w:rPr>
              <w:t>Contracts already paying the L</w:t>
            </w:r>
            <w:r w:rsidR="00DB5517">
              <w:rPr>
                <w:rFonts w:cs="Arial"/>
                <w:sz w:val="20"/>
              </w:rPr>
              <w:t>LW</w:t>
            </w:r>
            <w:r w:rsidRPr="0090606D">
              <w:rPr>
                <w:rFonts w:cs="Arial"/>
                <w:sz w:val="20"/>
              </w:rPr>
              <w:t xml:space="preserve"> </w:t>
            </w:r>
          </w:p>
        </w:tc>
        <w:tc>
          <w:tcPr>
            <w:tcW w:w="1021" w:type="dxa"/>
          </w:tcPr>
          <w:p w14:paraId="0D8A19AD" w14:textId="77777777" w:rsidR="00B327DD" w:rsidRPr="0090606D" w:rsidRDefault="00B327DD" w:rsidP="00FB5219">
            <w:pPr>
              <w:rPr>
                <w:rFonts w:cs="Arial"/>
                <w:sz w:val="20"/>
              </w:rPr>
            </w:pPr>
          </w:p>
        </w:tc>
        <w:tc>
          <w:tcPr>
            <w:tcW w:w="4208" w:type="dxa"/>
          </w:tcPr>
          <w:p w14:paraId="0607C74F" w14:textId="5F240A09" w:rsidR="00B327DD" w:rsidRPr="0090606D" w:rsidRDefault="009E038D" w:rsidP="00FB5219">
            <w:pPr>
              <w:rPr>
                <w:rFonts w:cs="Arial"/>
                <w:sz w:val="20"/>
              </w:rPr>
            </w:pPr>
            <w:r>
              <w:rPr>
                <w:rFonts w:cs="Arial"/>
                <w:sz w:val="20"/>
              </w:rPr>
              <w:t>The Council</w:t>
            </w:r>
            <w:r w:rsidR="00B327DD">
              <w:rPr>
                <w:rFonts w:cs="Arial"/>
                <w:sz w:val="20"/>
              </w:rPr>
              <w:t xml:space="preserve"> have </w:t>
            </w:r>
            <w:r w:rsidR="002C4262">
              <w:rPr>
                <w:rFonts w:cs="Arial"/>
                <w:sz w:val="20"/>
              </w:rPr>
              <w:t>152</w:t>
            </w:r>
            <w:r w:rsidR="00B327DD">
              <w:rPr>
                <w:rFonts w:cs="Arial"/>
                <w:sz w:val="20"/>
              </w:rPr>
              <w:t xml:space="preserve"> number of contracts identified as paying the L</w:t>
            </w:r>
            <w:r w:rsidR="00DB5517">
              <w:rPr>
                <w:rFonts w:cs="Arial"/>
                <w:sz w:val="20"/>
              </w:rPr>
              <w:t>L</w:t>
            </w:r>
            <w:r w:rsidR="00B327DD">
              <w:rPr>
                <w:rFonts w:cs="Arial"/>
                <w:sz w:val="20"/>
              </w:rPr>
              <w:t>W. Though some of them were consciously tendered on a living wage most of them are services of a professional nature where everyone working on the contract is paid well above LLW rates.</w:t>
            </w:r>
          </w:p>
        </w:tc>
      </w:tr>
      <w:tr w:rsidR="00B327DD" w:rsidRPr="0090606D" w14:paraId="3B36EA48" w14:textId="77777777" w:rsidTr="000429E4">
        <w:tc>
          <w:tcPr>
            <w:tcW w:w="817" w:type="dxa"/>
            <w:shd w:val="clear" w:color="auto" w:fill="92D050"/>
          </w:tcPr>
          <w:p w14:paraId="016B9C78" w14:textId="3E35423C" w:rsidR="00B327DD" w:rsidRPr="0090606D" w:rsidRDefault="00B327DD" w:rsidP="00FB5219">
            <w:pPr>
              <w:rPr>
                <w:rFonts w:cs="Arial"/>
                <w:sz w:val="20"/>
              </w:rPr>
            </w:pPr>
            <w:r>
              <w:rPr>
                <w:rFonts w:cs="Arial"/>
                <w:sz w:val="20"/>
              </w:rPr>
              <w:t>2</w:t>
            </w:r>
          </w:p>
        </w:tc>
        <w:tc>
          <w:tcPr>
            <w:tcW w:w="3163" w:type="dxa"/>
            <w:shd w:val="clear" w:color="auto" w:fill="92D050"/>
          </w:tcPr>
          <w:p w14:paraId="0CB077CE" w14:textId="419A5A34" w:rsidR="00B327DD" w:rsidRPr="0090606D" w:rsidRDefault="00B327DD" w:rsidP="00FB5219">
            <w:pPr>
              <w:rPr>
                <w:rFonts w:cs="Arial"/>
                <w:sz w:val="20"/>
              </w:rPr>
            </w:pPr>
            <w:r w:rsidRPr="0090606D">
              <w:rPr>
                <w:rFonts w:cs="Arial"/>
                <w:sz w:val="20"/>
              </w:rPr>
              <w:t>Contracts that are not paying the L</w:t>
            </w:r>
            <w:r w:rsidR="00157D4C">
              <w:rPr>
                <w:rFonts w:cs="Arial"/>
                <w:sz w:val="20"/>
              </w:rPr>
              <w:t>LW</w:t>
            </w:r>
            <w:r w:rsidRPr="0090606D">
              <w:rPr>
                <w:rFonts w:cs="Arial"/>
                <w:sz w:val="20"/>
              </w:rPr>
              <w:t xml:space="preserve"> that are in-scope of the move to pay the </w:t>
            </w:r>
            <w:r w:rsidR="00896FF9">
              <w:rPr>
                <w:rFonts w:cs="Arial"/>
                <w:sz w:val="20"/>
              </w:rPr>
              <w:t>R</w:t>
            </w:r>
            <w:r w:rsidR="00157D4C">
              <w:rPr>
                <w:rFonts w:cs="Arial"/>
                <w:sz w:val="20"/>
              </w:rPr>
              <w:t>LW</w:t>
            </w:r>
          </w:p>
        </w:tc>
        <w:tc>
          <w:tcPr>
            <w:tcW w:w="1021" w:type="dxa"/>
            <w:shd w:val="clear" w:color="auto" w:fill="92D050"/>
          </w:tcPr>
          <w:p w14:paraId="68F0CEF5" w14:textId="77777777" w:rsidR="00B327DD" w:rsidRPr="0090606D" w:rsidRDefault="00B327DD" w:rsidP="00FB5219">
            <w:pPr>
              <w:rPr>
                <w:rFonts w:cs="Arial"/>
                <w:sz w:val="20"/>
              </w:rPr>
            </w:pPr>
          </w:p>
        </w:tc>
        <w:tc>
          <w:tcPr>
            <w:tcW w:w="4208" w:type="dxa"/>
            <w:shd w:val="clear" w:color="auto" w:fill="92D050"/>
          </w:tcPr>
          <w:p w14:paraId="794084E3" w14:textId="7FF5D839" w:rsidR="00B327DD" w:rsidRPr="0090606D" w:rsidRDefault="00B327DD" w:rsidP="00FB5219">
            <w:pPr>
              <w:rPr>
                <w:rFonts w:cs="Arial"/>
                <w:sz w:val="20"/>
              </w:rPr>
            </w:pPr>
            <w:r>
              <w:rPr>
                <w:rFonts w:cs="Arial"/>
                <w:sz w:val="20"/>
              </w:rPr>
              <w:t xml:space="preserve">It is this category that fall into the scope of recommendation </w:t>
            </w:r>
            <w:r w:rsidR="004105B6">
              <w:rPr>
                <w:rFonts w:cs="Arial"/>
                <w:sz w:val="20"/>
              </w:rPr>
              <w:t>1</w:t>
            </w:r>
            <w:r>
              <w:rPr>
                <w:rFonts w:cs="Arial"/>
                <w:sz w:val="20"/>
              </w:rPr>
              <w:t>. A</w:t>
            </w:r>
            <w:r w:rsidR="00DE3365">
              <w:rPr>
                <w:rFonts w:cs="Arial"/>
                <w:sz w:val="20"/>
              </w:rPr>
              <w:t>n</w:t>
            </w:r>
            <w:r>
              <w:rPr>
                <w:rFonts w:cs="Arial"/>
                <w:sz w:val="20"/>
              </w:rPr>
              <w:t xml:space="preserve"> implementation plan that will be submitted with our accreditation application to the LWF. It is set over a 7-year programme of implementation.</w:t>
            </w:r>
          </w:p>
        </w:tc>
      </w:tr>
      <w:tr w:rsidR="00B327DD" w:rsidRPr="0090606D" w14:paraId="13CCE8A9" w14:textId="77777777" w:rsidTr="0014497E">
        <w:tc>
          <w:tcPr>
            <w:tcW w:w="817" w:type="dxa"/>
          </w:tcPr>
          <w:p w14:paraId="46A5AD26" w14:textId="1C3ADC5A" w:rsidR="00B327DD" w:rsidRPr="0090606D" w:rsidRDefault="00B327DD" w:rsidP="00FB5219">
            <w:pPr>
              <w:rPr>
                <w:rFonts w:cs="Arial"/>
                <w:sz w:val="20"/>
              </w:rPr>
            </w:pPr>
            <w:r>
              <w:rPr>
                <w:rFonts w:cs="Arial"/>
                <w:sz w:val="20"/>
              </w:rPr>
              <w:t>3</w:t>
            </w:r>
          </w:p>
        </w:tc>
        <w:tc>
          <w:tcPr>
            <w:tcW w:w="3163" w:type="dxa"/>
          </w:tcPr>
          <w:p w14:paraId="44C6A2B3" w14:textId="70F70F1C" w:rsidR="00B327DD" w:rsidRPr="0090606D" w:rsidRDefault="00111B3C" w:rsidP="00FB5219">
            <w:pPr>
              <w:rPr>
                <w:rFonts w:cs="Arial"/>
                <w:sz w:val="20"/>
              </w:rPr>
            </w:pPr>
            <w:r w:rsidRPr="0090606D">
              <w:rPr>
                <w:rFonts w:cs="Arial"/>
                <w:sz w:val="20"/>
              </w:rPr>
              <w:t>Contracts that are out of scope of the move to pay the London Living Wage</w:t>
            </w:r>
            <w:r>
              <w:rPr>
                <w:rFonts w:cs="Arial"/>
                <w:sz w:val="20"/>
              </w:rPr>
              <w:t xml:space="preserve"> (contracts outside the UK, or short term or which do not use regular labour i.e.2 hours per week for 8 weeks)</w:t>
            </w:r>
          </w:p>
        </w:tc>
        <w:tc>
          <w:tcPr>
            <w:tcW w:w="1021" w:type="dxa"/>
          </w:tcPr>
          <w:p w14:paraId="135C7F00" w14:textId="77777777" w:rsidR="00B327DD" w:rsidRPr="0090606D" w:rsidRDefault="00B327DD" w:rsidP="00FB5219">
            <w:pPr>
              <w:rPr>
                <w:rFonts w:cs="Arial"/>
                <w:sz w:val="20"/>
              </w:rPr>
            </w:pPr>
          </w:p>
        </w:tc>
        <w:tc>
          <w:tcPr>
            <w:tcW w:w="4208" w:type="dxa"/>
          </w:tcPr>
          <w:p w14:paraId="5E80F1E6" w14:textId="3BB3C5D5" w:rsidR="00B327DD" w:rsidRPr="0090606D" w:rsidRDefault="00A87F82" w:rsidP="00FB5219">
            <w:pPr>
              <w:rPr>
                <w:rFonts w:cs="Arial"/>
                <w:sz w:val="20"/>
              </w:rPr>
            </w:pPr>
            <w:r>
              <w:rPr>
                <w:rFonts w:cs="Arial"/>
                <w:sz w:val="20"/>
              </w:rPr>
              <w:t>There a 121contracts that fall out of scope of paying the living wage. These are primarily for software licencing, utilities, insurance and the supply of goods only</w:t>
            </w:r>
          </w:p>
        </w:tc>
      </w:tr>
    </w:tbl>
    <w:p w14:paraId="2C8EC6D3" w14:textId="77777777" w:rsidR="00B85880" w:rsidRDefault="00B85880" w:rsidP="00FB5219">
      <w:pPr>
        <w:rPr>
          <w:rFonts w:cs="Arial"/>
        </w:rPr>
      </w:pPr>
    </w:p>
    <w:p w14:paraId="7BC15887" w14:textId="172A221E" w:rsidR="00FD43AC" w:rsidRDefault="00B327DD" w:rsidP="00FB5219">
      <w:pPr>
        <w:rPr>
          <w:rFonts w:cs="Arial"/>
        </w:rPr>
      </w:pPr>
      <w:r>
        <w:rPr>
          <w:rFonts w:cs="Arial"/>
        </w:rPr>
        <w:t xml:space="preserve">The purpose of this review </w:t>
      </w:r>
      <w:r w:rsidR="00A97F7F">
        <w:rPr>
          <w:rFonts w:cs="Arial"/>
        </w:rPr>
        <w:t>was to obtain an accurate picture</w:t>
      </w:r>
      <w:r w:rsidR="0072786C">
        <w:rPr>
          <w:rFonts w:cs="Arial"/>
        </w:rPr>
        <w:t xml:space="preserve"> as possible</w:t>
      </w:r>
      <w:r w:rsidR="00A97F7F">
        <w:rPr>
          <w:rFonts w:cs="Arial"/>
        </w:rPr>
        <w:t xml:space="preserve"> </w:t>
      </w:r>
      <w:r w:rsidR="00FC1898">
        <w:rPr>
          <w:rFonts w:cs="Arial"/>
        </w:rPr>
        <w:t xml:space="preserve">on all </w:t>
      </w:r>
      <w:r w:rsidR="002C007F">
        <w:rPr>
          <w:rFonts w:cs="Arial"/>
        </w:rPr>
        <w:t>category</w:t>
      </w:r>
      <w:r w:rsidR="00FC1898">
        <w:rPr>
          <w:rFonts w:cs="Arial"/>
        </w:rPr>
        <w:t xml:space="preserve"> 2 contracts. </w:t>
      </w:r>
      <w:r w:rsidR="00B103C4">
        <w:rPr>
          <w:rFonts w:cs="Arial"/>
        </w:rPr>
        <w:t xml:space="preserve">The methodology used to maximise accuracy was an </w:t>
      </w:r>
      <w:r w:rsidR="00603889">
        <w:rPr>
          <w:rFonts w:cs="Arial"/>
        </w:rPr>
        <w:t>interrogation of the contracts register</w:t>
      </w:r>
      <w:r w:rsidR="00CE4FA5">
        <w:rPr>
          <w:rFonts w:cs="Arial"/>
        </w:rPr>
        <w:t>, the procurement programme</w:t>
      </w:r>
      <w:r w:rsidR="00603889">
        <w:rPr>
          <w:rFonts w:cs="Arial"/>
        </w:rPr>
        <w:t xml:space="preserve"> </w:t>
      </w:r>
      <w:r w:rsidR="00716AD8">
        <w:rPr>
          <w:rFonts w:cs="Arial"/>
        </w:rPr>
        <w:t>and</w:t>
      </w:r>
      <w:r w:rsidR="00E00134">
        <w:rPr>
          <w:rFonts w:cs="Arial"/>
        </w:rPr>
        <w:t xml:space="preserve"> other </w:t>
      </w:r>
      <w:r w:rsidR="00716AD8">
        <w:rPr>
          <w:rFonts w:cs="Arial"/>
        </w:rPr>
        <w:t xml:space="preserve">contract documentation to sort </w:t>
      </w:r>
      <w:r w:rsidR="00070905">
        <w:rPr>
          <w:rFonts w:cs="Arial"/>
        </w:rPr>
        <w:t xml:space="preserve">contracts into one of the above 3 </w:t>
      </w:r>
      <w:r w:rsidR="00940892">
        <w:rPr>
          <w:rFonts w:cs="Arial"/>
        </w:rPr>
        <w:t>categories</w:t>
      </w:r>
      <w:r w:rsidR="0072786C" w:rsidRPr="0072786C">
        <w:t xml:space="preserve"> </w:t>
      </w:r>
      <w:r w:rsidR="0072786C" w:rsidRPr="0072786C">
        <w:rPr>
          <w:rFonts w:cs="Arial"/>
        </w:rPr>
        <w:t>based on available data</w:t>
      </w:r>
      <w:r w:rsidR="00070905">
        <w:rPr>
          <w:rFonts w:cs="Arial"/>
        </w:rPr>
        <w:t xml:space="preserve">. The second </w:t>
      </w:r>
      <w:r w:rsidR="005B51CB">
        <w:rPr>
          <w:rFonts w:cs="Arial"/>
        </w:rPr>
        <w:t>phase</w:t>
      </w:r>
      <w:r w:rsidR="00DE6918">
        <w:rPr>
          <w:rFonts w:cs="Arial"/>
        </w:rPr>
        <w:t xml:space="preserve"> of </w:t>
      </w:r>
      <w:r w:rsidR="003E0825">
        <w:rPr>
          <w:rFonts w:cs="Arial"/>
        </w:rPr>
        <w:t>review</w:t>
      </w:r>
      <w:r w:rsidR="005B51CB">
        <w:rPr>
          <w:rFonts w:cs="Arial"/>
        </w:rPr>
        <w:t xml:space="preserve"> engage</w:t>
      </w:r>
      <w:r w:rsidR="00EA3715">
        <w:rPr>
          <w:rFonts w:cs="Arial"/>
        </w:rPr>
        <w:t>d</w:t>
      </w:r>
      <w:r w:rsidR="005B51CB">
        <w:rPr>
          <w:rFonts w:cs="Arial"/>
        </w:rPr>
        <w:t xml:space="preserve"> all directorates on the scop</w:t>
      </w:r>
      <w:r w:rsidR="003E0825">
        <w:rPr>
          <w:rFonts w:cs="Arial"/>
        </w:rPr>
        <w:t>ing</w:t>
      </w:r>
      <w:r w:rsidR="005B51CB">
        <w:rPr>
          <w:rFonts w:cs="Arial"/>
        </w:rPr>
        <w:t xml:space="preserve"> work</w:t>
      </w:r>
      <w:r w:rsidR="00AD2E61">
        <w:rPr>
          <w:rFonts w:cs="Arial"/>
        </w:rPr>
        <w:t>,</w:t>
      </w:r>
      <w:r w:rsidR="00101017">
        <w:rPr>
          <w:rFonts w:cs="Arial"/>
        </w:rPr>
        <w:t xml:space="preserve"> so</w:t>
      </w:r>
      <w:r w:rsidR="005B51CB">
        <w:rPr>
          <w:rFonts w:cs="Arial"/>
        </w:rPr>
        <w:t xml:space="preserve"> commissioners and contract managers </w:t>
      </w:r>
      <w:r w:rsidR="00101017">
        <w:rPr>
          <w:rFonts w:cs="Arial"/>
        </w:rPr>
        <w:t>could</w:t>
      </w:r>
      <w:r w:rsidR="005B51CB">
        <w:rPr>
          <w:rFonts w:cs="Arial"/>
        </w:rPr>
        <w:t xml:space="preserve"> </w:t>
      </w:r>
      <w:r w:rsidR="001E6D12">
        <w:rPr>
          <w:rFonts w:cs="Arial"/>
        </w:rPr>
        <w:t xml:space="preserve">provide further knowledge and information to allow the initial sorting and scoping to be further improved by </w:t>
      </w:r>
      <w:r w:rsidR="003E0825">
        <w:rPr>
          <w:rFonts w:cs="Arial"/>
        </w:rPr>
        <w:t>‘</w:t>
      </w:r>
      <w:r w:rsidR="007949ED">
        <w:rPr>
          <w:rFonts w:cs="Arial"/>
        </w:rPr>
        <w:t>moving contracts around</w:t>
      </w:r>
      <w:r w:rsidR="008512F0">
        <w:rPr>
          <w:rFonts w:cs="Arial"/>
        </w:rPr>
        <w:t xml:space="preserve"> the </w:t>
      </w:r>
      <w:r w:rsidR="00685071">
        <w:rPr>
          <w:rFonts w:cs="Arial"/>
        </w:rPr>
        <w:t>categories</w:t>
      </w:r>
      <w:r w:rsidR="008512F0">
        <w:rPr>
          <w:rFonts w:cs="Arial"/>
        </w:rPr>
        <w:t>’</w:t>
      </w:r>
      <w:r w:rsidR="007949ED">
        <w:rPr>
          <w:rFonts w:cs="Arial"/>
        </w:rPr>
        <w:t xml:space="preserve"> based on new information </w:t>
      </w:r>
      <w:r w:rsidR="00B67EF8">
        <w:rPr>
          <w:rFonts w:cs="Arial"/>
        </w:rPr>
        <w:t>and adding totally new contracts or future commissioning activity</w:t>
      </w:r>
      <w:r w:rsidR="00D9646A">
        <w:rPr>
          <w:rFonts w:cs="Arial"/>
        </w:rPr>
        <w:t>.</w:t>
      </w:r>
    </w:p>
    <w:p w14:paraId="15DAB368" w14:textId="02215D4D" w:rsidR="00D9646A" w:rsidRDefault="00D9646A" w:rsidP="00FB5219">
      <w:pPr>
        <w:rPr>
          <w:rFonts w:cs="Arial"/>
        </w:rPr>
      </w:pPr>
    </w:p>
    <w:p w14:paraId="55050626" w14:textId="1F088FDC" w:rsidR="00D9646A" w:rsidRDefault="00D9646A" w:rsidP="00FB5219">
      <w:pPr>
        <w:rPr>
          <w:rFonts w:cs="Arial"/>
        </w:rPr>
      </w:pPr>
      <w:r>
        <w:rPr>
          <w:rFonts w:cs="Arial"/>
        </w:rPr>
        <w:t xml:space="preserve">All the above scoping work </w:t>
      </w:r>
      <w:r w:rsidR="00FC1CA3">
        <w:rPr>
          <w:rFonts w:cs="Arial"/>
        </w:rPr>
        <w:t xml:space="preserve">was to allow for the most important part of the review to be undertaken and that was understanding the </w:t>
      </w:r>
      <w:r w:rsidR="0042575B">
        <w:rPr>
          <w:rFonts w:cs="Arial"/>
        </w:rPr>
        <w:t>financial impact of imple</w:t>
      </w:r>
      <w:r w:rsidR="00A9334B">
        <w:rPr>
          <w:rFonts w:cs="Arial"/>
        </w:rPr>
        <w:t xml:space="preserve">menting the </w:t>
      </w:r>
      <w:r w:rsidR="00A57A12">
        <w:rPr>
          <w:rFonts w:cs="Arial"/>
        </w:rPr>
        <w:t>RLW</w:t>
      </w:r>
      <w:r w:rsidR="00A9334B">
        <w:rPr>
          <w:rFonts w:cs="Arial"/>
        </w:rPr>
        <w:t xml:space="preserve"> into </w:t>
      </w:r>
      <w:r w:rsidR="0042575B">
        <w:rPr>
          <w:rFonts w:cs="Arial"/>
        </w:rPr>
        <w:t>scope 2</w:t>
      </w:r>
      <w:r w:rsidR="00A9334B">
        <w:rPr>
          <w:rFonts w:cs="Arial"/>
        </w:rPr>
        <w:t xml:space="preserve"> contracts.</w:t>
      </w:r>
      <w:r w:rsidR="00364FA9">
        <w:rPr>
          <w:rFonts w:cs="Arial"/>
        </w:rPr>
        <w:t xml:space="preserve"> The financial implications section of this report will detail the </w:t>
      </w:r>
      <w:r w:rsidR="004D0A2B">
        <w:rPr>
          <w:rFonts w:cs="Arial"/>
        </w:rPr>
        <w:t>financial impact of introducing the</w:t>
      </w:r>
      <w:r w:rsidR="002F112B">
        <w:rPr>
          <w:rFonts w:cs="Arial"/>
        </w:rPr>
        <w:t xml:space="preserve"> RLW</w:t>
      </w:r>
      <w:r w:rsidR="004D0A2B">
        <w:rPr>
          <w:rFonts w:cs="Arial"/>
        </w:rPr>
        <w:t>.</w:t>
      </w:r>
      <w:r>
        <w:rPr>
          <w:rFonts w:cs="Arial"/>
        </w:rPr>
        <w:t xml:space="preserve"> </w:t>
      </w:r>
    </w:p>
    <w:p w14:paraId="3847B611" w14:textId="77777777" w:rsidR="00C949F1" w:rsidRPr="00C949F1" w:rsidRDefault="00C949F1" w:rsidP="00C949F1">
      <w:pPr>
        <w:pStyle w:val="ListParagraph"/>
        <w:rPr>
          <w:b/>
          <w:color w:val="FF0000"/>
        </w:rPr>
      </w:pPr>
    </w:p>
    <w:p w14:paraId="2F25A54D" w14:textId="13B5A244" w:rsidR="0007364B" w:rsidRPr="000B48BF" w:rsidRDefault="00B1338B" w:rsidP="000B48BF">
      <w:pPr>
        <w:pStyle w:val="ListParagraph"/>
        <w:numPr>
          <w:ilvl w:val="0"/>
          <w:numId w:val="13"/>
        </w:numPr>
        <w:spacing w:after="160" w:line="259" w:lineRule="auto"/>
        <w:contextualSpacing/>
        <w:rPr>
          <w:rFonts w:cs="Arial"/>
        </w:rPr>
      </w:pPr>
      <w:r>
        <w:rPr>
          <w:rFonts w:cs="Arial"/>
          <w:color w:val="000000" w:themeColor="text1"/>
          <w:szCs w:val="24"/>
        </w:rPr>
        <w:t xml:space="preserve">The </w:t>
      </w:r>
      <w:r w:rsidR="006454BE">
        <w:rPr>
          <w:rFonts w:cs="Arial"/>
          <w:color w:val="000000" w:themeColor="text1"/>
          <w:szCs w:val="24"/>
        </w:rPr>
        <w:t>plan</w:t>
      </w:r>
      <w:r w:rsidR="008F0B7A">
        <w:rPr>
          <w:rFonts w:cs="Arial"/>
          <w:color w:val="000000" w:themeColor="text1"/>
          <w:szCs w:val="24"/>
        </w:rPr>
        <w:t xml:space="preserve"> that is to be submitted to the LWF (App1)</w:t>
      </w:r>
      <w:r w:rsidR="006454BE">
        <w:rPr>
          <w:rFonts w:cs="Arial"/>
          <w:color w:val="000000" w:themeColor="text1"/>
          <w:szCs w:val="24"/>
        </w:rPr>
        <w:t xml:space="preserve"> has </w:t>
      </w:r>
      <w:r w:rsidR="007D1774">
        <w:rPr>
          <w:rFonts w:cs="Arial"/>
          <w:color w:val="000000" w:themeColor="text1"/>
          <w:szCs w:val="24"/>
        </w:rPr>
        <w:t xml:space="preserve">detailed </w:t>
      </w:r>
      <w:r w:rsidR="00494F22">
        <w:rPr>
          <w:rFonts w:cs="Arial"/>
          <w:color w:val="000000" w:themeColor="text1"/>
          <w:szCs w:val="24"/>
        </w:rPr>
        <w:t>a list of</w:t>
      </w:r>
      <w:r w:rsidR="00475A02">
        <w:rPr>
          <w:rFonts w:cs="Arial"/>
          <w:color w:val="000000" w:themeColor="text1"/>
          <w:szCs w:val="24"/>
        </w:rPr>
        <w:t xml:space="preserve"> milestones</w:t>
      </w:r>
      <w:r w:rsidR="000943A6">
        <w:rPr>
          <w:rFonts w:cs="Arial"/>
          <w:color w:val="000000" w:themeColor="text1"/>
          <w:szCs w:val="24"/>
        </w:rPr>
        <w:t xml:space="preserve"> over a period of 7 years. </w:t>
      </w:r>
      <w:r w:rsidR="00E923B6">
        <w:rPr>
          <w:rFonts w:cs="Arial"/>
          <w:color w:val="000000" w:themeColor="text1"/>
          <w:szCs w:val="24"/>
        </w:rPr>
        <w:t>The milestones include</w:t>
      </w:r>
      <w:r w:rsidR="000A4CD4">
        <w:rPr>
          <w:rFonts w:cs="Arial"/>
          <w:color w:val="000000" w:themeColor="text1"/>
          <w:szCs w:val="24"/>
        </w:rPr>
        <w:t xml:space="preserve"> an early years</w:t>
      </w:r>
      <w:r w:rsidR="00D22AF4">
        <w:rPr>
          <w:rFonts w:cs="Arial"/>
          <w:color w:val="000000" w:themeColor="text1"/>
          <w:szCs w:val="24"/>
        </w:rPr>
        <w:t>’</w:t>
      </w:r>
      <w:r w:rsidR="000A4CD4">
        <w:rPr>
          <w:rFonts w:cs="Arial"/>
          <w:color w:val="000000" w:themeColor="text1"/>
          <w:szCs w:val="24"/>
        </w:rPr>
        <w:t xml:space="preserve"> plan</w:t>
      </w:r>
      <w:r w:rsidR="009C778C">
        <w:rPr>
          <w:rFonts w:cs="Arial"/>
          <w:color w:val="000000" w:themeColor="text1"/>
          <w:szCs w:val="24"/>
        </w:rPr>
        <w:t>.</w:t>
      </w:r>
      <w:r w:rsidR="007F2D08">
        <w:rPr>
          <w:rFonts w:cs="Arial"/>
          <w:color w:val="000000" w:themeColor="text1"/>
          <w:szCs w:val="24"/>
        </w:rPr>
        <w:t xml:space="preserve"> </w:t>
      </w:r>
      <w:r w:rsidR="002C6C05">
        <w:rPr>
          <w:rFonts w:cs="Arial"/>
        </w:rPr>
        <w:t xml:space="preserve">The early years proposal of ‘what </w:t>
      </w:r>
      <w:r w:rsidR="00D05093">
        <w:rPr>
          <w:rFonts w:cs="Arial"/>
        </w:rPr>
        <w:t xml:space="preserve">the Council </w:t>
      </w:r>
      <w:r w:rsidR="002C6C05">
        <w:rPr>
          <w:rFonts w:cs="Arial"/>
        </w:rPr>
        <w:t>do</w:t>
      </w:r>
      <w:r w:rsidR="00D05093">
        <w:rPr>
          <w:rFonts w:cs="Arial"/>
        </w:rPr>
        <w:t>es</w:t>
      </w:r>
      <w:r w:rsidR="002C6C05">
        <w:rPr>
          <w:rFonts w:cs="Arial"/>
        </w:rPr>
        <w:t xml:space="preserve"> first’ is based on a combination of affordability and ease of implementation.</w:t>
      </w:r>
    </w:p>
    <w:p w14:paraId="5E3D76B0" w14:textId="7A6ED12D" w:rsidR="00333FAA" w:rsidRPr="00384A54" w:rsidRDefault="00333FAA" w:rsidP="00333FAA">
      <w:pPr>
        <w:pStyle w:val="Heading2"/>
        <w:rPr>
          <w:rFonts w:ascii="Arial" w:hAnsi="Arial"/>
          <w:color w:val="000000" w:themeColor="text1"/>
          <w:sz w:val="24"/>
          <w:szCs w:val="24"/>
        </w:rPr>
      </w:pPr>
      <w:r w:rsidRPr="00384A54">
        <w:rPr>
          <w:rFonts w:ascii="Arial" w:hAnsi="Arial"/>
          <w:color w:val="000000" w:themeColor="text1"/>
          <w:sz w:val="24"/>
          <w:szCs w:val="24"/>
        </w:rPr>
        <w:t>Implications of the Recommendation</w:t>
      </w:r>
    </w:p>
    <w:p w14:paraId="37AC8C03" w14:textId="785D43AA" w:rsidR="0054590F" w:rsidRDefault="0054590F" w:rsidP="0054590F">
      <w:pPr>
        <w:rPr>
          <w:szCs w:val="24"/>
        </w:rPr>
      </w:pPr>
    </w:p>
    <w:p w14:paraId="10EDCDDA" w14:textId="403F52CC" w:rsidR="00A44854" w:rsidRPr="000B2A70" w:rsidRDefault="008C3461" w:rsidP="00A52892">
      <w:pPr>
        <w:pStyle w:val="ListParagraph"/>
        <w:numPr>
          <w:ilvl w:val="0"/>
          <w:numId w:val="12"/>
        </w:numPr>
        <w:rPr>
          <w:szCs w:val="24"/>
        </w:rPr>
      </w:pPr>
      <w:r>
        <w:rPr>
          <w:szCs w:val="24"/>
        </w:rPr>
        <w:t xml:space="preserve">The </w:t>
      </w:r>
      <w:r w:rsidR="009E6D53">
        <w:rPr>
          <w:szCs w:val="24"/>
        </w:rPr>
        <w:t xml:space="preserve">introduction of </w:t>
      </w:r>
      <w:r w:rsidR="007A4139">
        <w:rPr>
          <w:szCs w:val="24"/>
        </w:rPr>
        <w:t>a requirement</w:t>
      </w:r>
      <w:r w:rsidR="003A1648">
        <w:rPr>
          <w:szCs w:val="24"/>
        </w:rPr>
        <w:t xml:space="preserve"> for suppliers to the council to pay their employees </w:t>
      </w:r>
      <w:r w:rsidR="009E6D53">
        <w:rPr>
          <w:szCs w:val="24"/>
        </w:rPr>
        <w:t xml:space="preserve">the </w:t>
      </w:r>
      <w:r w:rsidR="00A9335B">
        <w:rPr>
          <w:szCs w:val="24"/>
        </w:rPr>
        <w:t>RLW</w:t>
      </w:r>
      <w:r w:rsidR="009E6D53">
        <w:rPr>
          <w:szCs w:val="24"/>
        </w:rPr>
        <w:t xml:space="preserve"> requires </w:t>
      </w:r>
      <w:r w:rsidR="00F16531">
        <w:rPr>
          <w:szCs w:val="24"/>
        </w:rPr>
        <w:t>careful consideration of the implementation</w:t>
      </w:r>
      <w:r w:rsidR="00B9316A">
        <w:rPr>
          <w:szCs w:val="24"/>
        </w:rPr>
        <w:t xml:space="preserve"> and on</w:t>
      </w:r>
      <w:r w:rsidR="00E33BF6">
        <w:rPr>
          <w:szCs w:val="24"/>
        </w:rPr>
        <w:t>-</w:t>
      </w:r>
      <w:r w:rsidR="00B9316A">
        <w:rPr>
          <w:szCs w:val="24"/>
        </w:rPr>
        <w:t xml:space="preserve">going contract management </w:t>
      </w:r>
      <w:r w:rsidR="00EB5EE9">
        <w:rPr>
          <w:szCs w:val="24"/>
        </w:rPr>
        <w:t>process</w:t>
      </w:r>
      <w:r w:rsidR="00FF7E83">
        <w:rPr>
          <w:szCs w:val="24"/>
        </w:rPr>
        <w:t>.</w:t>
      </w:r>
      <w:r w:rsidR="00164F37">
        <w:rPr>
          <w:szCs w:val="24"/>
        </w:rPr>
        <w:t xml:space="preserve"> (Please see procurement implications section for more detail)</w:t>
      </w:r>
    </w:p>
    <w:p w14:paraId="6DA29104" w14:textId="77777777" w:rsidR="00041697" w:rsidRPr="00F06E4E" w:rsidRDefault="00041697" w:rsidP="0054590F">
      <w:pPr>
        <w:rPr>
          <w:szCs w:val="24"/>
        </w:rPr>
      </w:pPr>
    </w:p>
    <w:p w14:paraId="71841C0A" w14:textId="55D8A43B" w:rsidR="00333FAA" w:rsidRPr="00E33BF6" w:rsidRDefault="00333FAA" w:rsidP="0054590F">
      <w:pPr>
        <w:pStyle w:val="Heading4"/>
        <w:rPr>
          <w:color w:val="000000" w:themeColor="text1"/>
          <w:szCs w:val="24"/>
        </w:rPr>
      </w:pPr>
      <w:r w:rsidRPr="00E33BF6">
        <w:rPr>
          <w:color w:val="000000" w:themeColor="text1"/>
          <w:szCs w:val="24"/>
        </w:rPr>
        <w:t xml:space="preserve">Resources costs </w:t>
      </w:r>
    </w:p>
    <w:p w14:paraId="2356D34E" w14:textId="4145E58B" w:rsidR="0005413C" w:rsidRDefault="0005413C" w:rsidP="00A24B8F"/>
    <w:p w14:paraId="3183E196" w14:textId="77F7FB6A" w:rsidR="00C125E7" w:rsidRDefault="00C125E7" w:rsidP="00A24B8F">
      <w:r>
        <w:t xml:space="preserve">No additional non-financial resource </w:t>
      </w:r>
      <w:r w:rsidR="00E33BF6">
        <w:t>is</w:t>
      </w:r>
      <w:r>
        <w:t xml:space="preserve"> required in order to implement the recommendations of this report.</w:t>
      </w:r>
    </w:p>
    <w:p w14:paraId="211340B3" w14:textId="0E0E0262" w:rsidR="00333FAA" w:rsidRPr="00E33BF6" w:rsidRDefault="00333FAA" w:rsidP="0054590F">
      <w:pPr>
        <w:pStyle w:val="Heading4"/>
        <w:rPr>
          <w:color w:val="000000" w:themeColor="text1"/>
          <w:szCs w:val="24"/>
        </w:rPr>
      </w:pPr>
      <w:r w:rsidRPr="00E33BF6">
        <w:rPr>
          <w:color w:val="000000" w:themeColor="text1"/>
          <w:szCs w:val="24"/>
        </w:rPr>
        <w:lastRenderedPageBreak/>
        <w:t xml:space="preserve">Staffing/workforce </w:t>
      </w:r>
    </w:p>
    <w:p w14:paraId="6D827816" w14:textId="77777777" w:rsidR="00C125E7" w:rsidRDefault="00C125E7" w:rsidP="00BA2512"/>
    <w:p w14:paraId="309DE37C" w14:textId="1EBD5418" w:rsidR="00BA2512" w:rsidRDefault="00BA2512" w:rsidP="00BA2512">
      <w:r>
        <w:t xml:space="preserve">No additional resource will be required as a result of the recommendations of this report. Officers within commissioning, procurement, contract management, legal and finance will be the lead stakeholders in the successful implementation of the </w:t>
      </w:r>
      <w:r w:rsidR="003C5FD3">
        <w:t xml:space="preserve">real </w:t>
      </w:r>
      <w:r>
        <w:t xml:space="preserve">living wage into </w:t>
      </w:r>
      <w:r w:rsidR="00FA084B">
        <w:t xml:space="preserve">the Council’s procurement process. </w:t>
      </w:r>
      <w:r>
        <w:t xml:space="preserve">  </w:t>
      </w:r>
    </w:p>
    <w:p w14:paraId="7AA5D530" w14:textId="1EA22FD0" w:rsidR="00307F76" w:rsidRPr="00F06E4E" w:rsidRDefault="00994FAC" w:rsidP="001472A8">
      <w:pPr>
        <w:spacing w:before="240"/>
        <w:rPr>
          <w:b/>
          <w:szCs w:val="24"/>
        </w:rPr>
      </w:pPr>
      <w:r w:rsidRPr="00B67112">
        <w:rPr>
          <w:b/>
          <w:szCs w:val="24"/>
        </w:rPr>
        <w:t>W</w:t>
      </w:r>
      <w:r w:rsidR="00307F76" w:rsidRPr="00B67112">
        <w:rPr>
          <w:b/>
          <w:szCs w:val="24"/>
        </w:rPr>
        <w:t>ard Councillors’ comments</w:t>
      </w:r>
    </w:p>
    <w:p w14:paraId="5EB451EA" w14:textId="1C04EFA5" w:rsidR="00330832" w:rsidRDefault="00330832" w:rsidP="00330832">
      <w:pPr>
        <w:pStyle w:val="paragraph"/>
        <w:spacing w:before="0" w:beforeAutospacing="0" w:after="0" w:afterAutospacing="0"/>
        <w:textAlignment w:val="baseline"/>
        <w:rPr>
          <w:rFonts w:ascii="Segoe UI" w:hAnsi="Segoe UI" w:cs="Segoe UI"/>
          <w:sz w:val="18"/>
          <w:szCs w:val="18"/>
        </w:rPr>
      </w:pPr>
    </w:p>
    <w:p w14:paraId="2E3E1CF1" w14:textId="224584D4" w:rsidR="007F28BF" w:rsidRPr="00953DB7" w:rsidRDefault="00953DB7" w:rsidP="007F28BF">
      <w:pPr>
        <w:pStyle w:val="Heading3"/>
        <w:ind w:left="0" w:firstLine="0"/>
        <w:rPr>
          <w:b w:val="0"/>
          <w:bCs w:val="0"/>
          <w:sz w:val="24"/>
          <w:szCs w:val="24"/>
        </w:rPr>
      </w:pPr>
      <w:r w:rsidRPr="00953DB7">
        <w:rPr>
          <w:b w:val="0"/>
          <w:bCs w:val="0"/>
          <w:sz w:val="24"/>
          <w:szCs w:val="24"/>
        </w:rPr>
        <w:t>An early copy of this report was table</w:t>
      </w:r>
      <w:r w:rsidR="00CE1238">
        <w:rPr>
          <w:b w:val="0"/>
          <w:bCs w:val="0"/>
          <w:sz w:val="24"/>
          <w:szCs w:val="24"/>
        </w:rPr>
        <w:t>d</w:t>
      </w:r>
      <w:r w:rsidRPr="00953DB7">
        <w:rPr>
          <w:b w:val="0"/>
          <w:bCs w:val="0"/>
          <w:sz w:val="24"/>
          <w:szCs w:val="24"/>
        </w:rPr>
        <w:t xml:space="preserve"> with </w:t>
      </w:r>
      <w:r w:rsidR="00CE1238">
        <w:rPr>
          <w:b w:val="0"/>
          <w:bCs w:val="0"/>
          <w:sz w:val="24"/>
          <w:szCs w:val="24"/>
        </w:rPr>
        <w:t>A</w:t>
      </w:r>
      <w:r w:rsidRPr="00953DB7">
        <w:rPr>
          <w:b w:val="0"/>
          <w:bCs w:val="0"/>
          <w:sz w:val="24"/>
          <w:szCs w:val="24"/>
        </w:rPr>
        <w:t xml:space="preserve">dministration </w:t>
      </w:r>
      <w:r w:rsidR="00CE1238">
        <w:rPr>
          <w:b w:val="0"/>
          <w:bCs w:val="0"/>
          <w:sz w:val="24"/>
          <w:szCs w:val="24"/>
        </w:rPr>
        <w:t>M</w:t>
      </w:r>
      <w:r w:rsidRPr="00953DB7">
        <w:rPr>
          <w:b w:val="0"/>
          <w:bCs w:val="0"/>
          <w:sz w:val="24"/>
          <w:szCs w:val="24"/>
        </w:rPr>
        <w:t>embers who were supportive of the recommendations</w:t>
      </w:r>
      <w:r w:rsidR="00CE1238">
        <w:rPr>
          <w:b w:val="0"/>
          <w:bCs w:val="0"/>
          <w:sz w:val="24"/>
          <w:szCs w:val="24"/>
        </w:rPr>
        <w:t>.</w:t>
      </w:r>
      <w:r w:rsidR="004E15E3" w:rsidRPr="00953DB7">
        <w:rPr>
          <w:b w:val="0"/>
          <w:bCs w:val="0"/>
          <w:sz w:val="24"/>
          <w:szCs w:val="24"/>
        </w:rPr>
        <w:t xml:space="preserve"> </w:t>
      </w:r>
    </w:p>
    <w:p w14:paraId="3E77CC49" w14:textId="77777777" w:rsidR="000D65A4" w:rsidRPr="000D65A4" w:rsidRDefault="000D65A4" w:rsidP="000D65A4"/>
    <w:p w14:paraId="75284416" w14:textId="06816CF8" w:rsidR="00A81E19" w:rsidRPr="0059038C" w:rsidRDefault="00A81E19" w:rsidP="007F28BF">
      <w:pPr>
        <w:pStyle w:val="Heading3"/>
        <w:ind w:left="0" w:firstLine="0"/>
        <w:rPr>
          <w:sz w:val="24"/>
          <w:szCs w:val="24"/>
        </w:rPr>
      </w:pPr>
      <w:r w:rsidRPr="0059038C">
        <w:rPr>
          <w:sz w:val="24"/>
          <w:szCs w:val="24"/>
        </w:rPr>
        <w:t>Risk Management Implications</w:t>
      </w:r>
    </w:p>
    <w:p w14:paraId="0B289C2F" w14:textId="7D5357B2" w:rsidR="00C53F1A" w:rsidRPr="00105B8A" w:rsidRDefault="00C53F1A" w:rsidP="00105B8A">
      <w:pPr>
        <w:tabs>
          <w:tab w:val="left" w:pos="5610"/>
        </w:tabs>
        <w:ind w:right="81"/>
        <w:rPr>
          <w:color w:val="0000FF"/>
        </w:rPr>
      </w:pPr>
      <w:bookmarkStart w:id="1" w:name="_Hlk60923477"/>
      <w:bookmarkStart w:id="2" w:name="_Hlk60922991"/>
      <w:bookmarkStart w:id="3" w:name="_Hlk60923939"/>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67AD36AD"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sidR="003A707C">
        <w:rPr>
          <w:rFonts w:cs="Arial"/>
          <w:b/>
          <w:bCs/>
          <w:szCs w:val="24"/>
          <w:lang w:val="en-US" w:eastAsia="en-GB"/>
        </w:rPr>
        <w:t>Yes</w:t>
      </w:r>
    </w:p>
    <w:p w14:paraId="72B374FF" w14:textId="77777777" w:rsidR="00C53F1A" w:rsidRDefault="00C53F1A" w:rsidP="00105B8A">
      <w:pPr>
        <w:tabs>
          <w:tab w:val="left" w:pos="5610"/>
        </w:tabs>
        <w:ind w:left="567" w:right="81" w:hanging="567"/>
      </w:pPr>
    </w:p>
    <w:p w14:paraId="2E054B04" w14:textId="7EBC1F12"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Yes</w:t>
      </w:r>
    </w:p>
    <w:p w14:paraId="45AEB19F" w14:textId="77777777" w:rsidR="00105B8A" w:rsidRDefault="00105B8A" w:rsidP="00105B8A"/>
    <w:p w14:paraId="68B1512C" w14:textId="2759935A" w:rsidR="00C53F1A" w:rsidRDefault="00C53F1A" w:rsidP="00105B8A">
      <w:r>
        <w:t xml:space="preserve">The following key risks should be </w:t>
      </w:r>
      <w:proofErr w:type="gramStart"/>
      <w:r>
        <w:t xml:space="preserve">taken </w:t>
      </w:r>
      <w:r w:rsidR="00105B8A">
        <w:t>i</w:t>
      </w:r>
      <w:r>
        <w:t>nto account</w:t>
      </w:r>
      <w:proofErr w:type="gramEnd"/>
      <w:r>
        <w:t xml:space="preserve"> when agreeing the recommendations in this report:</w:t>
      </w:r>
    </w:p>
    <w:p w14:paraId="590489C4" w14:textId="77777777" w:rsidR="00C53F1A" w:rsidRDefault="00C53F1A" w:rsidP="00105B8A">
      <w:pPr>
        <w:ind w:left="567" w:right="141" w:hanging="567"/>
        <w:rPr>
          <w:rFonts w:cs="Arial"/>
          <w:szCs w:val="24"/>
          <w:lang w:val="en-US" w:eastAsia="en-GB"/>
        </w:rPr>
      </w:pPr>
    </w:p>
    <w:tbl>
      <w:tblPr>
        <w:tblW w:w="8299"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846"/>
        <w:gridCol w:w="3699"/>
        <w:gridCol w:w="2749"/>
        <w:gridCol w:w="1005"/>
      </w:tblGrid>
      <w:tr w:rsidR="00EB0B2C" w:rsidRPr="00FB3991" w14:paraId="1404D484" w14:textId="77777777" w:rsidTr="00EB0B2C">
        <w:trPr>
          <w:tblHeader/>
        </w:trPr>
        <w:tc>
          <w:tcPr>
            <w:tcW w:w="846" w:type="dxa"/>
            <w:tcBorders>
              <w:top w:val="single" w:sz="4" w:space="0" w:color="000000"/>
              <w:left w:val="single" w:sz="4" w:space="0" w:color="000000"/>
              <w:bottom w:val="single" w:sz="4" w:space="0" w:color="000000"/>
              <w:right w:val="single" w:sz="4" w:space="0" w:color="000000"/>
            </w:tcBorders>
          </w:tcPr>
          <w:bookmarkEnd w:id="1"/>
          <w:p w14:paraId="5D74E214" w14:textId="0B5F24F5" w:rsidR="00EB0B2C" w:rsidRPr="00FB3991" w:rsidRDefault="00EB0B2C" w:rsidP="00F61F4B">
            <w:pPr>
              <w:spacing w:line="247" w:lineRule="auto"/>
              <w:ind w:right="141"/>
              <w:rPr>
                <w:rFonts w:cs="Arial"/>
                <w:b/>
                <w:bCs/>
                <w:sz w:val="22"/>
                <w:szCs w:val="22"/>
                <w:lang w:val="en-US" w:eastAsia="en-GB"/>
              </w:rPr>
            </w:pPr>
            <w:r>
              <w:rPr>
                <w:rFonts w:cs="Arial"/>
                <w:b/>
                <w:bCs/>
                <w:sz w:val="22"/>
                <w:szCs w:val="22"/>
                <w:lang w:val="en-US" w:eastAsia="en-GB"/>
              </w:rPr>
              <w:t>Risk no</w:t>
            </w:r>
          </w:p>
        </w:tc>
        <w:tc>
          <w:tcPr>
            <w:tcW w:w="3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6F1795" w14:textId="6810896C" w:rsidR="00EB0B2C" w:rsidRPr="00FB3991" w:rsidRDefault="00EB0B2C" w:rsidP="00F61F4B">
            <w:pPr>
              <w:spacing w:line="247" w:lineRule="auto"/>
              <w:ind w:right="141"/>
              <w:rPr>
                <w:rFonts w:cs="Arial"/>
                <w:b/>
                <w:bCs/>
                <w:sz w:val="22"/>
                <w:szCs w:val="22"/>
                <w:lang w:val="en-US" w:eastAsia="en-GB"/>
              </w:rPr>
            </w:pPr>
            <w:r w:rsidRPr="00FB3991">
              <w:rPr>
                <w:rFonts w:cs="Arial"/>
                <w:b/>
                <w:bCs/>
                <w:sz w:val="22"/>
                <w:szCs w:val="22"/>
                <w:lang w:val="en-US" w:eastAsia="en-GB"/>
              </w:rPr>
              <w:t>Risk Description</w:t>
            </w:r>
          </w:p>
        </w:tc>
        <w:tc>
          <w:tcPr>
            <w:tcW w:w="2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EB0B2C" w:rsidRPr="00FB3991" w:rsidRDefault="00EB0B2C" w:rsidP="00F61F4B">
            <w:pPr>
              <w:spacing w:line="247" w:lineRule="auto"/>
              <w:ind w:right="141"/>
              <w:rPr>
                <w:rFonts w:cs="Arial"/>
                <w:b/>
                <w:bCs/>
                <w:sz w:val="22"/>
                <w:szCs w:val="22"/>
                <w:lang w:val="en-US" w:eastAsia="en-GB"/>
              </w:rPr>
            </w:pPr>
            <w:r w:rsidRPr="00FB3991">
              <w:rPr>
                <w:rFonts w:cs="Arial"/>
                <w:b/>
                <w:bCs/>
                <w:sz w:val="22"/>
                <w:szCs w:val="22"/>
                <w:lang w:val="en-US" w:eastAsia="en-GB"/>
              </w:rPr>
              <w:t>Mitigations</w:t>
            </w:r>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EB0B2C" w:rsidRPr="00EB0B2C" w:rsidRDefault="00EB0B2C" w:rsidP="00F61F4B">
            <w:pPr>
              <w:spacing w:line="247" w:lineRule="auto"/>
              <w:ind w:left="171" w:right="141"/>
              <w:rPr>
                <w:rFonts w:cs="Arial"/>
                <w:b/>
                <w:bCs/>
                <w:sz w:val="22"/>
                <w:szCs w:val="22"/>
                <w:lang w:val="en-US" w:eastAsia="en-GB"/>
              </w:rPr>
            </w:pPr>
            <w:r w:rsidRPr="00EB0B2C">
              <w:rPr>
                <w:rFonts w:cs="Arial"/>
                <w:b/>
                <w:bCs/>
                <w:sz w:val="22"/>
                <w:szCs w:val="22"/>
                <w:lang w:val="en-US" w:eastAsia="en-GB"/>
              </w:rPr>
              <w:t>RAG Status</w:t>
            </w:r>
          </w:p>
        </w:tc>
      </w:tr>
      <w:tr w:rsidR="00EB0B2C" w:rsidRPr="00FB3991" w14:paraId="4B1F0661" w14:textId="77777777" w:rsidTr="00EB0B2C">
        <w:tc>
          <w:tcPr>
            <w:tcW w:w="846" w:type="dxa"/>
            <w:tcBorders>
              <w:top w:val="single" w:sz="4" w:space="0" w:color="000000"/>
              <w:left w:val="single" w:sz="4" w:space="0" w:color="000000"/>
              <w:bottom w:val="single" w:sz="4" w:space="0" w:color="000000"/>
              <w:right w:val="single" w:sz="4" w:space="0" w:color="000000"/>
            </w:tcBorders>
          </w:tcPr>
          <w:p w14:paraId="154BD19A" w14:textId="5C19830D" w:rsidR="00EB0B2C" w:rsidRPr="00FB3991" w:rsidRDefault="00EB0B2C" w:rsidP="00F61F4B">
            <w:pPr>
              <w:spacing w:line="247" w:lineRule="auto"/>
              <w:ind w:right="141"/>
              <w:rPr>
                <w:rFonts w:cs="Arial"/>
                <w:sz w:val="22"/>
                <w:szCs w:val="22"/>
                <w:lang w:val="en-US" w:eastAsia="en-GB"/>
              </w:rPr>
            </w:pPr>
            <w:r>
              <w:rPr>
                <w:rFonts w:cs="Arial"/>
                <w:sz w:val="22"/>
                <w:szCs w:val="22"/>
                <w:lang w:val="en-US" w:eastAsia="en-GB"/>
              </w:rPr>
              <w:t>1</w:t>
            </w:r>
          </w:p>
        </w:tc>
        <w:tc>
          <w:tcPr>
            <w:tcW w:w="3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0E167" w14:textId="6811FE0B" w:rsidR="00EB0B2C" w:rsidRDefault="00EB0B2C" w:rsidP="00F61F4B">
            <w:pPr>
              <w:spacing w:line="247" w:lineRule="auto"/>
              <w:ind w:right="141"/>
              <w:rPr>
                <w:rFonts w:cs="Arial"/>
                <w:sz w:val="22"/>
                <w:szCs w:val="22"/>
                <w:lang w:val="en-US" w:eastAsia="en-GB"/>
              </w:rPr>
            </w:pPr>
            <w:r w:rsidRPr="00FB3991">
              <w:rPr>
                <w:rFonts w:cs="Arial"/>
                <w:sz w:val="22"/>
                <w:szCs w:val="22"/>
                <w:lang w:val="en-US" w:eastAsia="en-GB"/>
              </w:rPr>
              <w:t>Contracts where Harrow Council is not the only customer. This is predominantly in the residential and nursing care services sector. It is difficult to implement the RLW in a setting where care staff are used across numerous clients from different placing councils.</w:t>
            </w:r>
          </w:p>
          <w:p w14:paraId="02F63792" w14:textId="77777777" w:rsidR="00EB0B2C" w:rsidRDefault="00EB0B2C" w:rsidP="00F61F4B">
            <w:pPr>
              <w:spacing w:line="247" w:lineRule="auto"/>
              <w:ind w:right="141"/>
              <w:rPr>
                <w:rFonts w:cs="Arial"/>
                <w:sz w:val="22"/>
                <w:szCs w:val="22"/>
                <w:lang w:val="en-US" w:eastAsia="en-GB"/>
              </w:rPr>
            </w:pPr>
          </w:p>
          <w:p w14:paraId="18599A42" w14:textId="00FB865B" w:rsidR="00EB0B2C" w:rsidRPr="00FB3991" w:rsidRDefault="00EB0B2C" w:rsidP="00F61F4B">
            <w:pPr>
              <w:spacing w:line="247" w:lineRule="auto"/>
              <w:ind w:right="141"/>
              <w:rPr>
                <w:rFonts w:cs="Arial"/>
                <w:sz w:val="22"/>
                <w:szCs w:val="22"/>
                <w:lang w:val="en-US" w:eastAsia="en-GB"/>
              </w:rPr>
            </w:pPr>
            <w:r>
              <w:rPr>
                <w:rFonts w:cs="Arial"/>
                <w:sz w:val="22"/>
                <w:szCs w:val="22"/>
                <w:lang w:val="en-US" w:eastAsia="en-GB"/>
              </w:rPr>
              <w:t>S</w:t>
            </w:r>
            <w:r w:rsidRPr="00F0155C">
              <w:rPr>
                <w:rFonts w:cs="Arial"/>
                <w:sz w:val="22"/>
                <w:szCs w:val="22"/>
                <w:lang w:val="en-US" w:eastAsia="en-GB"/>
              </w:rPr>
              <w:t>taff involved in these contracts will effectively work across more than one local authority and any attempt to apply RLW may cause ‘bidding wars’ with other local authorities. Suppliers may well reserve beds for the highest payer.</w:t>
            </w:r>
          </w:p>
        </w:tc>
        <w:tc>
          <w:tcPr>
            <w:tcW w:w="2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F8256" w14:textId="255F1759" w:rsidR="00EB0B2C" w:rsidRPr="00FB3991" w:rsidRDefault="00EB0B2C" w:rsidP="008372B6">
            <w:pPr>
              <w:suppressAutoHyphens/>
              <w:autoSpaceDN w:val="0"/>
              <w:spacing w:line="247" w:lineRule="auto"/>
              <w:ind w:right="141"/>
              <w:rPr>
                <w:sz w:val="22"/>
                <w:szCs w:val="22"/>
                <w:lang w:val="en-US"/>
              </w:rPr>
            </w:pPr>
          </w:p>
          <w:p w14:paraId="2F610631" w14:textId="2EAB4D20" w:rsidR="00EB0B2C" w:rsidRPr="00FB3991" w:rsidRDefault="00EB0B2C" w:rsidP="00A52892">
            <w:pPr>
              <w:pStyle w:val="ListParagraph"/>
              <w:numPr>
                <w:ilvl w:val="0"/>
                <w:numId w:val="6"/>
              </w:numPr>
              <w:suppressAutoHyphens/>
              <w:autoSpaceDN w:val="0"/>
              <w:spacing w:line="247" w:lineRule="auto"/>
              <w:ind w:left="171" w:right="141" w:hanging="171"/>
              <w:rPr>
                <w:sz w:val="22"/>
                <w:szCs w:val="22"/>
                <w:lang w:val="en-US"/>
              </w:rPr>
            </w:pPr>
            <w:r w:rsidRPr="00FB3991">
              <w:rPr>
                <w:sz w:val="22"/>
                <w:szCs w:val="22"/>
                <w:lang w:val="en-US"/>
              </w:rPr>
              <w:t>Working together with the WLA and other councils to understand the makeup of establishments where Harrow Council are not the only commissioner placing clients.</w:t>
            </w:r>
          </w:p>
          <w:p w14:paraId="76B7E518" w14:textId="1DA3C8F4" w:rsidR="00EB0B2C" w:rsidRPr="00FB3991" w:rsidRDefault="00EB0B2C" w:rsidP="005F193A">
            <w:pPr>
              <w:pStyle w:val="ListParagraph"/>
              <w:suppressAutoHyphens/>
              <w:autoSpaceDN w:val="0"/>
              <w:spacing w:line="247" w:lineRule="auto"/>
              <w:ind w:left="171" w:right="141"/>
              <w:rPr>
                <w:sz w:val="22"/>
                <w:szCs w:val="22"/>
                <w:lang w:val="en-US"/>
              </w:rPr>
            </w:pPr>
            <w:r w:rsidRPr="00FB3991">
              <w:rPr>
                <w:sz w:val="22"/>
                <w:szCs w:val="22"/>
                <w:lang w:val="en-US"/>
              </w:rPr>
              <w:t xml:space="preserve"> </w:t>
            </w:r>
          </w:p>
          <w:p w14:paraId="75087772" w14:textId="77777777" w:rsidR="00EB0B2C" w:rsidRDefault="00EB0B2C" w:rsidP="00A52892">
            <w:pPr>
              <w:pStyle w:val="ListParagraph"/>
              <w:numPr>
                <w:ilvl w:val="0"/>
                <w:numId w:val="6"/>
              </w:numPr>
              <w:suppressAutoHyphens/>
              <w:autoSpaceDN w:val="0"/>
              <w:spacing w:line="247" w:lineRule="auto"/>
              <w:ind w:left="171" w:right="141" w:hanging="171"/>
              <w:rPr>
                <w:sz w:val="22"/>
                <w:szCs w:val="22"/>
                <w:lang w:val="en-US"/>
              </w:rPr>
            </w:pPr>
            <w:r w:rsidRPr="00FB3991">
              <w:rPr>
                <w:sz w:val="22"/>
                <w:szCs w:val="22"/>
                <w:lang w:val="en-US"/>
              </w:rPr>
              <w:t>Working alongside the adult services commissioning strategy in relation to the mixture of block/spot contracts.</w:t>
            </w:r>
          </w:p>
          <w:p w14:paraId="77305D3E" w14:textId="77777777" w:rsidR="00EB0B2C" w:rsidRDefault="00EB0B2C" w:rsidP="00DA4B53">
            <w:pPr>
              <w:pStyle w:val="ListParagraph"/>
              <w:suppressAutoHyphens/>
              <w:autoSpaceDN w:val="0"/>
              <w:spacing w:line="247" w:lineRule="auto"/>
              <w:ind w:left="171" w:right="141"/>
              <w:rPr>
                <w:sz w:val="22"/>
                <w:szCs w:val="22"/>
                <w:lang w:val="en-US"/>
              </w:rPr>
            </w:pPr>
            <w:r>
              <w:rPr>
                <w:sz w:val="22"/>
                <w:szCs w:val="22"/>
                <w:lang w:val="en-US"/>
              </w:rPr>
              <w:t xml:space="preserve"> </w:t>
            </w:r>
          </w:p>
          <w:p w14:paraId="07DCD158" w14:textId="78261466" w:rsidR="00EB0B2C" w:rsidRPr="00FB3991" w:rsidRDefault="00EB0B2C" w:rsidP="00A52892">
            <w:pPr>
              <w:pStyle w:val="ListParagraph"/>
              <w:numPr>
                <w:ilvl w:val="0"/>
                <w:numId w:val="6"/>
              </w:numPr>
              <w:suppressAutoHyphens/>
              <w:autoSpaceDN w:val="0"/>
              <w:spacing w:line="247" w:lineRule="auto"/>
              <w:ind w:left="171" w:right="141" w:hanging="171"/>
              <w:rPr>
                <w:sz w:val="22"/>
                <w:szCs w:val="22"/>
                <w:lang w:val="en-US"/>
              </w:rPr>
            </w:pPr>
            <w:r>
              <w:rPr>
                <w:sz w:val="22"/>
                <w:szCs w:val="22"/>
                <w:lang w:val="en-US"/>
              </w:rPr>
              <w:t>There will be no introduction of the RLW into these settings until a viable way forward has been identified. These could include multi borough agreement or an increased use of block contracts.</w:t>
            </w:r>
          </w:p>
        </w:tc>
        <w:tc>
          <w:tcPr>
            <w:tcW w:w="1005" w:type="dxa"/>
            <w:tcBorders>
              <w:top w:val="single" w:sz="4" w:space="0" w:color="000000"/>
              <w:left w:val="single" w:sz="4" w:space="0" w:color="000000"/>
              <w:bottom w:val="single" w:sz="4" w:space="0" w:color="000000"/>
              <w:right w:val="single" w:sz="4" w:space="0" w:color="000000"/>
            </w:tcBorders>
            <w:shd w:val="clear" w:color="auto" w:fill="FFC000"/>
            <w:hideMark/>
          </w:tcPr>
          <w:p w14:paraId="3D57C7C1" w14:textId="70ADEE78" w:rsidR="00EB0B2C" w:rsidRPr="00EB0B2C" w:rsidRDefault="00EB0B2C" w:rsidP="00D34FC8">
            <w:pPr>
              <w:spacing w:line="247" w:lineRule="auto"/>
              <w:ind w:right="141"/>
              <w:rPr>
                <w:rFonts w:cs="Arial"/>
                <w:b/>
                <w:bCs/>
                <w:sz w:val="22"/>
                <w:szCs w:val="22"/>
                <w:lang w:val="en-US" w:eastAsia="en-GB"/>
              </w:rPr>
            </w:pPr>
          </w:p>
          <w:p w14:paraId="1BD16511" w14:textId="0DF19E1A" w:rsidR="00EB0B2C" w:rsidRPr="00EB0B2C" w:rsidRDefault="00EB0B2C" w:rsidP="00E8031C">
            <w:pPr>
              <w:spacing w:line="247" w:lineRule="auto"/>
              <w:ind w:right="141"/>
              <w:rPr>
                <w:rFonts w:cs="Arial"/>
                <w:b/>
                <w:bCs/>
                <w:sz w:val="22"/>
                <w:szCs w:val="22"/>
                <w:lang w:val="en-US" w:eastAsia="en-GB"/>
              </w:rPr>
            </w:pPr>
            <w:r w:rsidRPr="00EB0B2C">
              <w:rPr>
                <w:rFonts w:cs="Arial"/>
                <w:b/>
                <w:bCs/>
                <w:sz w:val="22"/>
                <w:szCs w:val="22"/>
                <w:lang w:val="en-US" w:eastAsia="en-GB"/>
              </w:rPr>
              <w:t>Amber</w:t>
            </w:r>
          </w:p>
        </w:tc>
      </w:tr>
    </w:tbl>
    <w:p w14:paraId="73394BF5" w14:textId="77777777" w:rsidR="00ED76E0" w:rsidRDefault="00ED76E0">
      <w:r>
        <w:br w:type="page"/>
      </w:r>
    </w:p>
    <w:tbl>
      <w:tblPr>
        <w:tblW w:w="8299"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846"/>
        <w:gridCol w:w="3788"/>
        <w:gridCol w:w="2777"/>
        <w:gridCol w:w="888"/>
      </w:tblGrid>
      <w:tr w:rsidR="00EB0B2C" w:rsidRPr="00FB3991" w14:paraId="6274505A" w14:textId="77777777" w:rsidTr="00EB0B2C">
        <w:tc>
          <w:tcPr>
            <w:tcW w:w="846" w:type="dxa"/>
            <w:tcBorders>
              <w:top w:val="single" w:sz="4" w:space="0" w:color="000000"/>
              <w:left w:val="single" w:sz="4" w:space="0" w:color="000000"/>
              <w:bottom w:val="single" w:sz="4" w:space="0" w:color="000000"/>
              <w:right w:val="single" w:sz="4" w:space="0" w:color="000000"/>
            </w:tcBorders>
          </w:tcPr>
          <w:p w14:paraId="67A6706A" w14:textId="59C55E77" w:rsidR="00EB0B2C" w:rsidRPr="00FB3991" w:rsidRDefault="00EB0B2C" w:rsidP="00F61F4B">
            <w:pPr>
              <w:spacing w:line="247" w:lineRule="auto"/>
              <w:ind w:right="141"/>
              <w:rPr>
                <w:rFonts w:cs="Arial"/>
                <w:sz w:val="22"/>
                <w:szCs w:val="22"/>
                <w:lang w:val="en-US" w:eastAsia="en-GB"/>
              </w:rPr>
            </w:pPr>
            <w:r>
              <w:rPr>
                <w:rFonts w:cs="Arial"/>
                <w:sz w:val="22"/>
                <w:szCs w:val="22"/>
                <w:lang w:val="en-US" w:eastAsia="en-GB"/>
              </w:rPr>
              <w:lastRenderedPageBreak/>
              <w:t>2</w:t>
            </w:r>
          </w:p>
        </w:tc>
        <w:tc>
          <w:tcPr>
            <w:tcW w:w="3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4A2D7" w14:textId="3A3D95BE" w:rsidR="00EB0B2C" w:rsidRPr="00FB3991" w:rsidRDefault="00EB0B2C" w:rsidP="00F61F4B">
            <w:pPr>
              <w:spacing w:line="247" w:lineRule="auto"/>
              <w:ind w:right="141"/>
              <w:rPr>
                <w:rFonts w:cs="Arial"/>
                <w:sz w:val="22"/>
                <w:szCs w:val="22"/>
                <w:lang w:val="en-US" w:eastAsia="en-GB"/>
              </w:rPr>
            </w:pPr>
            <w:r w:rsidRPr="00FB3991">
              <w:rPr>
                <w:rFonts w:cs="Arial"/>
                <w:sz w:val="22"/>
                <w:szCs w:val="22"/>
                <w:lang w:val="en-US" w:eastAsia="en-GB"/>
              </w:rPr>
              <w:t>That the additional contract value paid to suppliers for the implementation is not used to raise the wages of the workforce to the RLW</w:t>
            </w: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6E542" w14:textId="7417AEF3" w:rsidR="00EB0B2C" w:rsidRPr="00FB3991" w:rsidRDefault="00EB0B2C" w:rsidP="00A52892">
            <w:pPr>
              <w:pStyle w:val="ListParagraph"/>
              <w:numPr>
                <w:ilvl w:val="0"/>
                <w:numId w:val="6"/>
              </w:numPr>
              <w:suppressAutoHyphens/>
              <w:autoSpaceDN w:val="0"/>
              <w:spacing w:line="247" w:lineRule="auto"/>
              <w:ind w:left="171" w:right="141" w:hanging="171"/>
              <w:rPr>
                <w:sz w:val="22"/>
                <w:szCs w:val="22"/>
                <w:lang w:val="en-US"/>
              </w:rPr>
            </w:pPr>
            <w:r w:rsidRPr="00FB3991">
              <w:rPr>
                <w:sz w:val="22"/>
                <w:szCs w:val="22"/>
                <w:lang w:val="en-US"/>
              </w:rPr>
              <w:t>The Council will contractually require the provider to pay the RLW where they have tendered to do so.</w:t>
            </w:r>
          </w:p>
          <w:p w14:paraId="6427BF49" w14:textId="047C8996" w:rsidR="00EB0B2C" w:rsidRPr="00FB3991" w:rsidRDefault="00EB0B2C" w:rsidP="00D865AD">
            <w:pPr>
              <w:pStyle w:val="ListParagraph"/>
              <w:suppressAutoHyphens/>
              <w:autoSpaceDN w:val="0"/>
              <w:spacing w:line="247" w:lineRule="auto"/>
              <w:ind w:left="171" w:right="141"/>
              <w:rPr>
                <w:sz w:val="22"/>
                <w:szCs w:val="22"/>
                <w:lang w:val="en-US"/>
              </w:rPr>
            </w:pPr>
            <w:r w:rsidRPr="00FB3991">
              <w:rPr>
                <w:sz w:val="22"/>
                <w:szCs w:val="22"/>
                <w:lang w:val="en-US"/>
              </w:rPr>
              <w:t xml:space="preserve"> </w:t>
            </w:r>
          </w:p>
          <w:p w14:paraId="79FDFF6E" w14:textId="227E6302" w:rsidR="00EB0B2C" w:rsidRPr="00ED76E0" w:rsidRDefault="00EB0B2C" w:rsidP="00ED76E0">
            <w:pPr>
              <w:pStyle w:val="ListParagraph"/>
              <w:numPr>
                <w:ilvl w:val="0"/>
                <w:numId w:val="6"/>
              </w:numPr>
              <w:suppressAutoHyphens/>
              <w:autoSpaceDN w:val="0"/>
              <w:spacing w:line="247" w:lineRule="auto"/>
              <w:ind w:left="171" w:right="141" w:hanging="171"/>
              <w:rPr>
                <w:sz w:val="22"/>
                <w:szCs w:val="22"/>
                <w:lang w:val="en-US"/>
              </w:rPr>
            </w:pPr>
            <w:r w:rsidRPr="00FB3991">
              <w:rPr>
                <w:sz w:val="22"/>
                <w:szCs w:val="22"/>
                <w:lang w:val="en-US"/>
              </w:rPr>
              <w:t>The Council will through contract management require them to provide evidence that they are paying it to all staff employed on the delivery of the contract.</w:t>
            </w:r>
          </w:p>
        </w:tc>
        <w:tc>
          <w:tcPr>
            <w:tcW w:w="888" w:type="dxa"/>
            <w:tcBorders>
              <w:top w:val="single" w:sz="4" w:space="0" w:color="000000"/>
              <w:left w:val="single" w:sz="4" w:space="0" w:color="000000"/>
              <w:bottom w:val="single" w:sz="4" w:space="0" w:color="000000"/>
              <w:right w:val="single" w:sz="4" w:space="0" w:color="000000"/>
            </w:tcBorders>
            <w:shd w:val="clear" w:color="auto" w:fill="92D050"/>
          </w:tcPr>
          <w:p w14:paraId="203D15A6" w14:textId="1C16B1A5" w:rsidR="00EB0B2C" w:rsidRPr="00EB0B2C" w:rsidRDefault="00EB0B2C" w:rsidP="00F61F4B">
            <w:pPr>
              <w:spacing w:line="247" w:lineRule="auto"/>
              <w:ind w:right="141"/>
              <w:rPr>
                <w:rFonts w:cs="Arial"/>
                <w:b/>
                <w:bCs/>
                <w:sz w:val="22"/>
                <w:szCs w:val="22"/>
                <w:lang w:val="en-US" w:eastAsia="en-GB"/>
              </w:rPr>
            </w:pPr>
            <w:r w:rsidRPr="00EB0B2C">
              <w:rPr>
                <w:rFonts w:cs="Arial"/>
                <w:b/>
                <w:bCs/>
                <w:sz w:val="22"/>
                <w:szCs w:val="22"/>
                <w:lang w:val="en-US" w:eastAsia="en-GB"/>
              </w:rPr>
              <w:t>Green</w:t>
            </w:r>
          </w:p>
        </w:tc>
      </w:tr>
      <w:tr w:rsidR="00EB0B2C" w:rsidRPr="00FB3991" w14:paraId="45AF8D9D" w14:textId="77777777" w:rsidTr="00EB0B2C">
        <w:tc>
          <w:tcPr>
            <w:tcW w:w="846" w:type="dxa"/>
            <w:tcBorders>
              <w:top w:val="single" w:sz="4" w:space="0" w:color="000000"/>
              <w:left w:val="single" w:sz="4" w:space="0" w:color="000000"/>
              <w:bottom w:val="single" w:sz="4" w:space="0" w:color="000000"/>
              <w:right w:val="single" w:sz="4" w:space="0" w:color="000000"/>
            </w:tcBorders>
          </w:tcPr>
          <w:p w14:paraId="0D4BA76D" w14:textId="03C5E5C8" w:rsidR="00EB0B2C" w:rsidRPr="00FB3991" w:rsidRDefault="00EB0B2C" w:rsidP="00F61F4B">
            <w:pPr>
              <w:spacing w:line="247" w:lineRule="auto"/>
              <w:ind w:right="141"/>
              <w:rPr>
                <w:rFonts w:cs="Arial"/>
                <w:sz w:val="22"/>
                <w:szCs w:val="22"/>
                <w:lang w:val="en-US" w:eastAsia="en-GB"/>
              </w:rPr>
            </w:pPr>
            <w:r>
              <w:rPr>
                <w:rFonts w:cs="Arial"/>
                <w:sz w:val="22"/>
                <w:szCs w:val="22"/>
                <w:lang w:val="en-US" w:eastAsia="en-GB"/>
              </w:rPr>
              <w:t>3</w:t>
            </w:r>
          </w:p>
        </w:tc>
        <w:tc>
          <w:tcPr>
            <w:tcW w:w="3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7D56C" w14:textId="77337CE7" w:rsidR="00EB0B2C" w:rsidRPr="00FB3991" w:rsidRDefault="00EB0B2C" w:rsidP="00F61F4B">
            <w:pPr>
              <w:spacing w:line="247" w:lineRule="auto"/>
              <w:ind w:right="141"/>
              <w:rPr>
                <w:rFonts w:cs="Arial"/>
                <w:sz w:val="22"/>
                <w:szCs w:val="22"/>
                <w:lang w:val="en-US" w:eastAsia="en-GB"/>
              </w:rPr>
            </w:pPr>
            <w:r w:rsidRPr="00FB3991">
              <w:rPr>
                <w:rFonts w:cs="Arial"/>
                <w:sz w:val="22"/>
                <w:szCs w:val="22"/>
                <w:lang w:val="en-US" w:eastAsia="en-GB"/>
              </w:rPr>
              <w:t>That the cost impact is greater than anticipated as the Council receives prices in tender submissions.</w:t>
            </w: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8BE20" w14:textId="75C39991" w:rsidR="00EB0B2C" w:rsidRPr="00FB3991" w:rsidRDefault="00EB0B2C" w:rsidP="00A52892">
            <w:pPr>
              <w:pStyle w:val="ListParagraph"/>
              <w:numPr>
                <w:ilvl w:val="0"/>
                <w:numId w:val="6"/>
              </w:numPr>
              <w:suppressAutoHyphens/>
              <w:autoSpaceDN w:val="0"/>
              <w:spacing w:line="247" w:lineRule="auto"/>
              <w:ind w:left="171" w:right="141" w:hanging="171"/>
              <w:rPr>
                <w:sz w:val="22"/>
                <w:szCs w:val="22"/>
                <w:lang w:val="en-US"/>
              </w:rPr>
            </w:pPr>
            <w:r w:rsidRPr="00FB3991">
              <w:rPr>
                <w:sz w:val="22"/>
                <w:szCs w:val="22"/>
                <w:lang w:val="en-US"/>
              </w:rPr>
              <w:t>In the pre procurement commissioning phase of a tendering project the Council would look to understand the market and make-up of the service in question with a view to getting an accurate picture as possible on the impact of paying the RLW.</w:t>
            </w:r>
          </w:p>
          <w:p w14:paraId="25271094" w14:textId="77777777" w:rsidR="00EB0B2C" w:rsidRPr="00FB3991" w:rsidRDefault="00EB0B2C" w:rsidP="004F27C8">
            <w:pPr>
              <w:pStyle w:val="ListParagraph"/>
              <w:suppressAutoHyphens/>
              <w:autoSpaceDN w:val="0"/>
              <w:spacing w:line="247" w:lineRule="auto"/>
              <w:ind w:left="171" w:right="141"/>
              <w:rPr>
                <w:sz w:val="22"/>
                <w:szCs w:val="22"/>
                <w:lang w:val="en-US"/>
              </w:rPr>
            </w:pPr>
            <w:r w:rsidRPr="00FB3991">
              <w:rPr>
                <w:sz w:val="22"/>
                <w:szCs w:val="22"/>
                <w:lang w:val="en-US"/>
              </w:rPr>
              <w:t xml:space="preserve"> </w:t>
            </w:r>
          </w:p>
          <w:p w14:paraId="2F6379F6" w14:textId="1FB6F207" w:rsidR="00EB0B2C" w:rsidRPr="00FB3991" w:rsidRDefault="00EB0B2C" w:rsidP="00A52892">
            <w:pPr>
              <w:pStyle w:val="ListParagraph"/>
              <w:numPr>
                <w:ilvl w:val="0"/>
                <w:numId w:val="6"/>
              </w:numPr>
              <w:suppressAutoHyphens/>
              <w:autoSpaceDN w:val="0"/>
              <w:spacing w:line="247" w:lineRule="auto"/>
              <w:ind w:left="171" w:right="141" w:hanging="171"/>
              <w:rPr>
                <w:sz w:val="22"/>
                <w:szCs w:val="22"/>
                <w:lang w:val="en-US"/>
              </w:rPr>
            </w:pPr>
            <w:r w:rsidRPr="00FB3991">
              <w:rPr>
                <w:sz w:val="22"/>
                <w:szCs w:val="22"/>
                <w:lang w:val="en-US"/>
              </w:rPr>
              <w:t>All our invitation to tender documents allows the authority to exercise its right not to make an award or to make a partial award following a tender. So, if prices were unaffordable the Council could withdraw from the process.</w:t>
            </w:r>
          </w:p>
        </w:tc>
        <w:tc>
          <w:tcPr>
            <w:tcW w:w="888" w:type="dxa"/>
            <w:tcBorders>
              <w:top w:val="single" w:sz="4" w:space="0" w:color="000000"/>
              <w:left w:val="single" w:sz="4" w:space="0" w:color="000000"/>
              <w:bottom w:val="single" w:sz="4" w:space="0" w:color="000000"/>
              <w:right w:val="single" w:sz="4" w:space="0" w:color="000000"/>
            </w:tcBorders>
            <w:shd w:val="clear" w:color="auto" w:fill="FFC000"/>
          </w:tcPr>
          <w:p w14:paraId="164A9129" w14:textId="3ADA7E16" w:rsidR="00EB0B2C" w:rsidRPr="00EB0B2C" w:rsidRDefault="00EB0B2C" w:rsidP="00F61F4B">
            <w:pPr>
              <w:spacing w:line="247" w:lineRule="auto"/>
              <w:ind w:right="141"/>
              <w:rPr>
                <w:rFonts w:cs="Arial"/>
                <w:b/>
                <w:bCs/>
                <w:sz w:val="22"/>
                <w:szCs w:val="22"/>
                <w:lang w:val="en-US" w:eastAsia="en-GB"/>
              </w:rPr>
            </w:pPr>
            <w:r w:rsidRPr="00EB0B2C">
              <w:rPr>
                <w:rFonts w:cs="Arial"/>
                <w:b/>
                <w:bCs/>
                <w:sz w:val="22"/>
                <w:szCs w:val="22"/>
                <w:lang w:val="en-US" w:eastAsia="en-GB"/>
              </w:rPr>
              <w:t>Amber</w:t>
            </w:r>
          </w:p>
        </w:tc>
      </w:tr>
      <w:tr w:rsidR="00EB0B2C" w:rsidRPr="00FB3991" w14:paraId="695B941B" w14:textId="77777777" w:rsidTr="00EB0B2C">
        <w:tc>
          <w:tcPr>
            <w:tcW w:w="846" w:type="dxa"/>
            <w:tcBorders>
              <w:top w:val="single" w:sz="4" w:space="0" w:color="000000"/>
              <w:left w:val="single" w:sz="4" w:space="0" w:color="000000"/>
              <w:bottom w:val="single" w:sz="4" w:space="0" w:color="000000"/>
              <w:right w:val="single" w:sz="4" w:space="0" w:color="000000"/>
            </w:tcBorders>
          </w:tcPr>
          <w:p w14:paraId="2912FE06" w14:textId="5A0CE85F" w:rsidR="00EB0B2C" w:rsidRPr="00FB3991" w:rsidRDefault="00EB0B2C" w:rsidP="00F61F4B">
            <w:pPr>
              <w:spacing w:line="247" w:lineRule="auto"/>
              <w:ind w:right="141"/>
              <w:rPr>
                <w:rFonts w:cs="Arial"/>
                <w:sz w:val="22"/>
                <w:szCs w:val="22"/>
                <w:lang w:val="en-US" w:eastAsia="en-GB"/>
              </w:rPr>
            </w:pPr>
            <w:r>
              <w:rPr>
                <w:rFonts w:cs="Arial"/>
                <w:sz w:val="22"/>
                <w:szCs w:val="22"/>
                <w:lang w:val="en-US" w:eastAsia="en-GB"/>
              </w:rPr>
              <w:t>4</w:t>
            </w:r>
          </w:p>
        </w:tc>
        <w:tc>
          <w:tcPr>
            <w:tcW w:w="3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8D4B8" w14:textId="2A62BDAA" w:rsidR="00EB0B2C" w:rsidRPr="00FB3991" w:rsidRDefault="00EB0B2C" w:rsidP="00F61F4B">
            <w:pPr>
              <w:spacing w:line="247" w:lineRule="auto"/>
              <w:ind w:right="141"/>
              <w:rPr>
                <w:rFonts w:cs="Arial"/>
                <w:sz w:val="22"/>
                <w:szCs w:val="22"/>
                <w:lang w:val="en-US" w:eastAsia="en-GB"/>
              </w:rPr>
            </w:pPr>
            <w:r w:rsidRPr="00FB3991">
              <w:rPr>
                <w:rFonts w:cs="Arial"/>
                <w:sz w:val="22"/>
                <w:szCs w:val="22"/>
                <w:lang w:val="en-US" w:eastAsia="en-GB"/>
              </w:rPr>
              <w:t xml:space="preserve">Quality of services delivered do not see quantifiable improvement as a result of paying the RLW </w:t>
            </w: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55B8E" w14:textId="3235654A" w:rsidR="00EB0B2C" w:rsidRPr="00FB3991" w:rsidRDefault="00EB0B2C" w:rsidP="00A52892">
            <w:pPr>
              <w:pStyle w:val="ListParagraph"/>
              <w:numPr>
                <w:ilvl w:val="0"/>
                <w:numId w:val="6"/>
              </w:numPr>
              <w:suppressAutoHyphens/>
              <w:autoSpaceDN w:val="0"/>
              <w:spacing w:line="247" w:lineRule="auto"/>
              <w:ind w:left="171" w:right="141" w:hanging="171"/>
              <w:rPr>
                <w:sz w:val="22"/>
                <w:szCs w:val="22"/>
                <w:lang w:val="en-US"/>
              </w:rPr>
            </w:pPr>
            <w:r w:rsidRPr="00FB3991">
              <w:rPr>
                <w:sz w:val="22"/>
                <w:szCs w:val="22"/>
                <w:lang w:val="en-US"/>
              </w:rPr>
              <w:t>Through contract management the Council would work to identify improvements that correlate with the payment of a higher wage. Such things as reduced turnover in staff, higher customer satisfaction rates of for example residents in a care setting, improvements in CQC reports.</w:t>
            </w:r>
          </w:p>
        </w:tc>
        <w:tc>
          <w:tcPr>
            <w:tcW w:w="888" w:type="dxa"/>
            <w:tcBorders>
              <w:top w:val="single" w:sz="4" w:space="0" w:color="000000"/>
              <w:left w:val="single" w:sz="4" w:space="0" w:color="000000"/>
              <w:bottom w:val="single" w:sz="4" w:space="0" w:color="000000"/>
              <w:right w:val="single" w:sz="4" w:space="0" w:color="000000"/>
            </w:tcBorders>
            <w:shd w:val="clear" w:color="auto" w:fill="FFC000"/>
          </w:tcPr>
          <w:p w14:paraId="7AE61FB6" w14:textId="77A24C9F" w:rsidR="00EB0B2C" w:rsidRPr="00EB0B2C" w:rsidRDefault="00EB0B2C" w:rsidP="00F61F4B">
            <w:pPr>
              <w:spacing w:line="247" w:lineRule="auto"/>
              <w:ind w:right="141"/>
              <w:rPr>
                <w:rFonts w:cs="Arial"/>
                <w:b/>
                <w:bCs/>
                <w:sz w:val="22"/>
                <w:szCs w:val="22"/>
                <w:lang w:val="en-US" w:eastAsia="en-GB"/>
              </w:rPr>
            </w:pPr>
            <w:r w:rsidRPr="00EB0B2C">
              <w:rPr>
                <w:rFonts w:cs="Arial"/>
                <w:b/>
                <w:bCs/>
                <w:sz w:val="22"/>
                <w:szCs w:val="22"/>
                <w:lang w:val="en-US" w:eastAsia="en-GB"/>
              </w:rPr>
              <w:t>Amber</w:t>
            </w:r>
          </w:p>
        </w:tc>
      </w:tr>
      <w:tr w:rsidR="00EB0B2C" w:rsidRPr="00FB3991" w14:paraId="49FA72F4" w14:textId="77777777" w:rsidTr="00EB0B2C">
        <w:tc>
          <w:tcPr>
            <w:tcW w:w="846" w:type="dxa"/>
            <w:tcBorders>
              <w:top w:val="single" w:sz="4" w:space="0" w:color="000000"/>
              <w:left w:val="single" w:sz="4" w:space="0" w:color="000000"/>
              <w:bottom w:val="single" w:sz="4" w:space="0" w:color="000000"/>
              <w:right w:val="single" w:sz="4" w:space="0" w:color="000000"/>
            </w:tcBorders>
          </w:tcPr>
          <w:p w14:paraId="3C9AB1ED" w14:textId="3C3B5FA0" w:rsidR="00EB0B2C" w:rsidRPr="00FB3991" w:rsidRDefault="00EB0B2C" w:rsidP="00F61F4B">
            <w:pPr>
              <w:spacing w:line="247" w:lineRule="auto"/>
              <w:ind w:right="141"/>
              <w:rPr>
                <w:rFonts w:cs="Arial"/>
                <w:sz w:val="22"/>
                <w:szCs w:val="22"/>
                <w:lang w:val="en-US" w:eastAsia="en-GB"/>
              </w:rPr>
            </w:pPr>
            <w:r>
              <w:rPr>
                <w:rFonts w:cs="Arial"/>
                <w:sz w:val="22"/>
                <w:szCs w:val="22"/>
                <w:lang w:val="en-US" w:eastAsia="en-GB"/>
              </w:rPr>
              <w:lastRenderedPageBreak/>
              <w:t>5</w:t>
            </w:r>
          </w:p>
        </w:tc>
        <w:tc>
          <w:tcPr>
            <w:tcW w:w="3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A9DB9" w14:textId="58A7E8CC" w:rsidR="00EB0B2C" w:rsidRPr="00FB3991" w:rsidRDefault="00EB0B2C" w:rsidP="00F61F4B">
            <w:pPr>
              <w:spacing w:line="247" w:lineRule="auto"/>
              <w:ind w:right="141"/>
              <w:rPr>
                <w:rFonts w:cs="Arial"/>
                <w:sz w:val="22"/>
                <w:szCs w:val="22"/>
                <w:lang w:val="en-US" w:eastAsia="en-GB"/>
              </w:rPr>
            </w:pPr>
            <w:r w:rsidRPr="00FB3991">
              <w:rPr>
                <w:rFonts w:cs="Arial"/>
                <w:sz w:val="22"/>
                <w:szCs w:val="22"/>
                <w:lang w:val="en-US" w:eastAsia="en-GB"/>
              </w:rPr>
              <w:t>Staff retention continues to be a problem for suppliers as other sectors continue to outstrip pay rates in sectors like social care</w:t>
            </w: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19B98" w14:textId="4CC7259A" w:rsidR="00EB0B2C" w:rsidRPr="00FB3991" w:rsidRDefault="00EB0B2C" w:rsidP="00A52892">
            <w:pPr>
              <w:pStyle w:val="ListParagraph"/>
              <w:numPr>
                <w:ilvl w:val="0"/>
                <w:numId w:val="6"/>
              </w:numPr>
              <w:suppressAutoHyphens/>
              <w:autoSpaceDN w:val="0"/>
              <w:spacing w:line="247" w:lineRule="auto"/>
              <w:ind w:left="171" w:right="141" w:hanging="171"/>
              <w:rPr>
                <w:sz w:val="22"/>
                <w:szCs w:val="22"/>
                <w:lang w:val="en-US"/>
              </w:rPr>
            </w:pPr>
            <w:r w:rsidRPr="00FB3991">
              <w:rPr>
                <w:sz w:val="22"/>
                <w:szCs w:val="22"/>
                <w:lang w:val="en-US"/>
              </w:rPr>
              <w:t>The economic environment creates a real challenge for sectors like the care industry. With a shortage of labour in many other sectors it is very possible that even with paying the RLW that the care sector continues to lose staff to higher paying sectors.</w:t>
            </w:r>
          </w:p>
        </w:tc>
        <w:tc>
          <w:tcPr>
            <w:tcW w:w="888" w:type="dxa"/>
            <w:tcBorders>
              <w:top w:val="single" w:sz="4" w:space="0" w:color="000000"/>
              <w:left w:val="single" w:sz="4" w:space="0" w:color="000000"/>
              <w:bottom w:val="single" w:sz="4" w:space="0" w:color="000000"/>
              <w:right w:val="single" w:sz="4" w:space="0" w:color="000000"/>
            </w:tcBorders>
            <w:shd w:val="clear" w:color="auto" w:fill="FFC000"/>
          </w:tcPr>
          <w:p w14:paraId="0F9B0ACF" w14:textId="0B8FEA6E" w:rsidR="00EB0B2C" w:rsidRPr="00EB0B2C" w:rsidRDefault="00EB0B2C" w:rsidP="00F61F4B">
            <w:pPr>
              <w:spacing w:line="247" w:lineRule="auto"/>
              <w:ind w:right="141"/>
              <w:rPr>
                <w:rFonts w:cs="Arial"/>
                <w:b/>
                <w:bCs/>
                <w:sz w:val="22"/>
                <w:szCs w:val="22"/>
                <w:lang w:val="en-US" w:eastAsia="en-GB"/>
              </w:rPr>
            </w:pPr>
            <w:r w:rsidRPr="00EB0B2C">
              <w:rPr>
                <w:rFonts w:cs="Arial"/>
                <w:b/>
                <w:bCs/>
                <w:sz w:val="22"/>
                <w:szCs w:val="22"/>
                <w:lang w:val="en-US" w:eastAsia="en-GB"/>
              </w:rPr>
              <w:t>Amber</w:t>
            </w:r>
          </w:p>
        </w:tc>
      </w:tr>
      <w:tr w:rsidR="00EB0B2C" w:rsidRPr="00BC232A" w14:paraId="56E96FD4" w14:textId="77777777" w:rsidTr="00EB0B2C">
        <w:tc>
          <w:tcPr>
            <w:tcW w:w="846" w:type="dxa"/>
            <w:tcBorders>
              <w:top w:val="single" w:sz="4" w:space="0" w:color="000000"/>
              <w:left w:val="single" w:sz="4" w:space="0" w:color="000000"/>
              <w:bottom w:val="single" w:sz="4" w:space="0" w:color="000000"/>
              <w:right w:val="single" w:sz="4" w:space="0" w:color="000000"/>
            </w:tcBorders>
          </w:tcPr>
          <w:p w14:paraId="0206129F" w14:textId="4CD0522B" w:rsidR="00EB0B2C" w:rsidRPr="00BC232A" w:rsidRDefault="00EB0B2C" w:rsidP="00F61F4B">
            <w:pPr>
              <w:spacing w:line="247" w:lineRule="auto"/>
              <w:ind w:right="141"/>
              <w:rPr>
                <w:rFonts w:cs="Arial"/>
                <w:sz w:val="22"/>
                <w:szCs w:val="22"/>
                <w:lang w:val="en-US" w:eastAsia="en-GB"/>
              </w:rPr>
            </w:pPr>
            <w:r>
              <w:rPr>
                <w:rFonts w:cs="Arial"/>
                <w:sz w:val="22"/>
                <w:szCs w:val="22"/>
                <w:lang w:val="en-US" w:eastAsia="en-GB"/>
              </w:rPr>
              <w:t>6</w:t>
            </w:r>
          </w:p>
        </w:tc>
        <w:tc>
          <w:tcPr>
            <w:tcW w:w="3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7BC5E" w14:textId="15A8A672" w:rsidR="00EB0B2C" w:rsidRPr="00BC232A" w:rsidRDefault="00EB0B2C" w:rsidP="00F61F4B">
            <w:pPr>
              <w:spacing w:line="247" w:lineRule="auto"/>
              <w:ind w:right="141"/>
              <w:rPr>
                <w:rFonts w:cs="Arial"/>
                <w:sz w:val="22"/>
                <w:szCs w:val="22"/>
                <w:lang w:val="en-US" w:eastAsia="en-GB"/>
              </w:rPr>
            </w:pPr>
            <w:r w:rsidRPr="00BC232A">
              <w:rPr>
                <w:rFonts w:cs="Arial"/>
                <w:sz w:val="22"/>
                <w:szCs w:val="22"/>
                <w:lang w:val="en-US" w:eastAsia="en-GB"/>
              </w:rPr>
              <w:t>Suppliers are reluctant to tender for Harrow contracts</w:t>
            </w: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00831" w14:textId="7BC704B5" w:rsidR="00EB0B2C" w:rsidRPr="00BC232A" w:rsidRDefault="00EB0B2C" w:rsidP="00A52892">
            <w:pPr>
              <w:pStyle w:val="ListParagraph"/>
              <w:numPr>
                <w:ilvl w:val="0"/>
                <w:numId w:val="6"/>
              </w:numPr>
              <w:suppressAutoHyphens/>
              <w:autoSpaceDN w:val="0"/>
              <w:spacing w:line="247" w:lineRule="auto"/>
              <w:ind w:left="171" w:right="141" w:hanging="171"/>
              <w:rPr>
                <w:sz w:val="22"/>
                <w:szCs w:val="22"/>
                <w:lang w:val="en-US"/>
              </w:rPr>
            </w:pPr>
            <w:r w:rsidRPr="00BC232A">
              <w:rPr>
                <w:sz w:val="22"/>
                <w:szCs w:val="22"/>
                <w:lang w:val="en-US"/>
              </w:rPr>
              <w:t>Phased approach is to allow the Counci</w:t>
            </w:r>
            <w:r>
              <w:rPr>
                <w:sz w:val="22"/>
                <w:szCs w:val="22"/>
                <w:lang w:val="en-US"/>
              </w:rPr>
              <w:t>l to take a considered approach to the implementation process.</w:t>
            </w:r>
          </w:p>
          <w:p w14:paraId="4F8C3853" w14:textId="631A363F" w:rsidR="00EB0B2C" w:rsidRPr="00BC232A" w:rsidRDefault="00EB0B2C" w:rsidP="004C75E1">
            <w:pPr>
              <w:pStyle w:val="ListParagraph"/>
              <w:suppressAutoHyphens/>
              <w:autoSpaceDN w:val="0"/>
              <w:spacing w:line="247" w:lineRule="auto"/>
              <w:ind w:left="171" w:right="141"/>
              <w:rPr>
                <w:sz w:val="22"/>
                <w:szCs w:val="22"/>
                <w:lang w:val="en-US"/>
              </w:rPr>
            </w:pPr>
            <w:r w:rsidRPr="00BC232A">
              <w:rPr>
                <w:sz w:val="22"/>
                <w:szCs w:val="22"/>
                <w:lang w:val="en-US"/>
              </w:rPr>
              <w:t xml:space="preserve"> </w:t>
            </w:r>
          </w:p>
          <w:p w14:paraId="7D520A88" w14:textId="066AF02A" w:rsidR="00EB0B2C" w:rsidRPr="00BC232A" w:rsidRDefault="00EB0B2C" w:rsidP="00A52892">
            <w:pPr>
              <w:pStyle w:val="ListParagraph"/>
              <w:numPr>
                <w:ilvl w:val="0"/>
                <w:numId w:val="6"/>
              </w:numPr>
              <w:suppressAutoHyphens/>
              <w:autoSpaceDN w:val="0"/>
              <w:spacing w:line="247" w:lineRule="auto"/>
              <w:ind w:left="171" w:right="141" w:hanging="171"/>
              <w:rPr>
                <w:sz w:val="22"/>
                <w:szCs w:val="22"/>
                <w:lang w:val="en-US"/>
              </w:rPr>
            </w:pPr>
            <w:r w:rsidRPr="00BC232A">
              <w:rPr>
                <w:sz w:val="22"/>
                <w:szCs w:val="22"/>
                <w:lang w:val="en-US"/>
              </w:rPr>
              <w:t>It is possible that providers may not want to tender for a service where rates paid to the staff, they employ on that specific service is higher than the rest of its workforce, thereby creating potential industrial relations issues.</w:t>
            </w:r>
          </w:p>
        </w:tc>
        <w:tc>
          <w:tcPr>
            <w:tcW w:w="888" w:type="dxa"/>
            <w:tcBorders>
              <w:top w:val="single" w:sz="4" w:space="0" w:color="000000"/>
              <w:left w:val="single" w:sz="4" w:space="0" w:color="000000"/>
              <w:bottom w:val="single" w:sz="4" w:space="0" w:color="000000"/>
              <w:right w:val="single" w:sz="4" w:space="0" w:color="000000"/>
            </w:tcBorders>
            <w:shd w:val="clear" w:color="auto" w:fill="FFC000"/>
          </w:tcPr>
          <w:p w14:paraId="4F6AFFF0" w14:textId="7AFE5C5E" w:rsidR="00EB0B2C" w:rsidRPr="00EB0B2C" w:rsidRDefault="00EB0B2C" w:rsidP="00F61F4B">
            <w:pPr>
              <w:spacing w:line="247" w:lineRule="auto"/>
              <w:ind w:right="141"/>
              <w:rPr>
                <w:rFonts w:cs="Arial"/>
                <w:b/>
                <w:bCs/>
                <w:sz w:val="22"/>
                <w:szCs w:val="22"/>
                <w:lang w:val="en-US" w:eastAsia="en-GB"/>
              </w:rPr>
            </w:pPr>
            <w:r w:rsidRPr="00EB0B2C">
              <w:rPr>
                <w:rFonts w:cs="Arial"/>
                <w:b/>
                <w:bCs/>
                <w:sz w:val="22"/>
                <w:szCs w:val="22"/>
                <w:lang w:val="en-US" w:eastAsia="en-GB"/>
              </w:rPr>
              <w:t>Amber</w:t>
            </w:r>
          </w:p>
        </w:tc>
      </w:tr>
      <w:tr w:rsidR="00EB0B2C" w:rsidRPr="00BC232A" w14:paraId="59906522" w14:textId="77777777" w:rsidTr="00EB0B2C">
        <w:tc>
          <w:tcPr>
            <w:tcW w:w="846" w:type="dxa"/>
            <w:tcBorders>
              <w:top w:val="single" w:sz="4" w:space="0" w:color="000000"/>
              <w:left w:val="single" w:sz="4" w:space="0" w:color="000000"/>
              <w:bottom w:val="single" w:sz="4" w:space="0" w:color="000000"/>
              <w:right w:val="single" w:sz="4" w:space="0" w:color="000000"/>
            </w:tcBorders>
          </w:tcPr>
          <w:p w14:paraId="65F1461F" w14:textId="6EED1BAD" w:rsidR="00EB0B2C" w:rsidRPr="00BC232A" w:rsidRDefault="00EB0B2C" w:rsidP="00F61F4B">
            <w:pPr>
              <w:spacing w:line="247" w:lineRule="auto"/>
              <w:ind w:right="141"/>
              <w:rPr>
                <w:rFonts w:cs="Arial"/>
                <w:sz w:val="22"/>
                <w:szCs w:val="22"/>
                <w:lang w:val="en-US" w:eastAsia="en-GB"/>
              </w:rPr>
            </w:pPr>
            <w:r>
              <w:rPr>
                <w:rFonts w:cs="Arial"/>
                <w:sz w:val="22"/>
                <w:szCs w:val="22"/>
                <w:lang w:val="en-US" w:eastAsia="en-GB"/>
              </w:rPr>
              <w:t>7</w:t>
            </w:r>
          </w:p>
        </w:tc>
        <w:tc>
          <w:tcPr>
            <w:tcW w:w="3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99BD5" w14:textId="3E0521DF" w:rsidR="00EB0B2C" w:rsidRPr="00BC232A" w:rsidRDefault="00EB0B2C" w:rsidP="00F61F4B">
            <w:pPr>
              <w:spacing w:line="247" w:lineRule="auto"/>
              <w:ind w:right="141"/>
              <w:rPr>
                <w:rFonts w:cs="Arial"/>
                <w:sz w:val="22"/>
                <w:szCs w:val="22"/>
                <w:lang w:val="en-US" w:eastAsia="en-GB"/>
              </w:rPr>
            </w:pPr>
            <w:r w:rsidRPr="00BC232A">
              <w:rPr>
                <w:rFonts w:cs="Arial"/>
                <w:sz w:val="22"/>
                <w:szCs w:val="22"/>
                <w:lang w:val="en-US" w:eastAsia="en-GB"/>
              </w:rPr>
              <w:t>Contract Monitoring and enforcement could become complex and onerous and doesn’t give the Council the information needed to mitigate risks</w:t>
            </w:r>
            <w:r>
              <w:rPr>
                <w:rFonts w:cs="Arial"/>
                <w:sz w:val="22"/>
                <w:szCs w:val="22"/>
                <w:lang w:val="en-US" w:eastAsia="en-GB"/>
              </w:rPr>
              <w:t xml:space="preserve"> identified in this report.</w:t>
            </w: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B9D40" w14:textId="3C53EAFD" w:rsidR="00EB0B2C" w:rsidRPr="00BC232A" w:rsidRDefault="00EB0B2C" w:rsidP="00A52892">
            <w:pPr>
              <w:pStyle w:val="ListParagraph"/>
              <w:numPr>
                <w:ilvl w:val="0"/>
                <w:numId w:val="6"/>
              </w:numPr>
              <w:suppressAutoHyphens/>
              <w:autoSpaceDN w:val="0"/>
              <w:spacing w:line="247" w:lineRule="auto"/>
              <w:ind w:left="171" w:right="141" w:hanging="171"/>
              <w:rPr>
                <w:sz w:val="22"/>
                <w:szCs w:val="22"/>
                <w:lang w:val="en-US"/>
              </w:rPr>
            </w:pPr>
            <w:r w:rsidRPr="00BC232A">
              <w:rPr>
                <w:sz w:val="22"/>
                <w:szCs w:val="22"/>
                <w:lang w:val="en-US"/>
              </w:rPr>
              <w:t xml:space="preserve">The Council understand what we want to achieve and will </w:t>
            </w:r>
            <w:r>
              <w:rPr>
                <w:sz w:val="22"/>
                <w:szCs w:val="22"/>
                <w:lang w:val="en-US"/>
              </w:rPr>
              <w:t xml:space="preserve">enhance </w:t>
            </w:r>
            <w:r w:rsidRPr="00BC232A">
              <w:rPr>
                <w:sz w:val="22"/>
                <w:szCs w:val="22"/>
                <w:lang w:val="en-US"/>
              </w:rPr>
              <w:t xml:space="preserve">our </w:t>
            </w:r>
            <w:r>
              <w:rPr>
                <w:sz w:val="22"/>
                <w:szCs w:val="22"/>
                <w:lang w:val="en-US"/>
              </w:rPr>
              <w:t xml:space="preserve">contract management and </w:t>
            </w:r>
            <w:r w:rsidRPr="00BC232A">
              <w:rPr>
                <w:sz w:val="22"/>
                <w:szCs w:val="22"/>
                <w:lang w:val="en-US"/>
              </w:rPr>
              <w:t xml:space="preserve">monitoring to be able to </w:t>
            </w:r>
            <w:r>
              <w:rPr>
                <w:sz w:val="22"/>
                <w:szCs w:val="22"/>
                <w:lang w:val="en-US"/>
              </w:rPr>
              <w:t xml:space="preserve">create </w:t>
            </w:r>
            <w:r w:rsidRPr="00BC232A">
              <w:rPr>
                <w:sz w:val="22"/>
                <w:szCs w:val="22"/>
                <w:lang w:val="en-US"/>
              </w:rPr>
              <w:t>measur</w:t>
            </w:r>
            <w:r>
              <w:rPr>
                <w:sz w:val="22"/>
                <w:szCs w:val="22"/>
                <w:lang w:val="en-US"/>
              </w:rPr>
              <w:t xml:space="preserve">able </w:t>
            </w:r>
            <w:r w:rsidRPr="00BC232A">
              <w:rPr>
                <w:sz w:val="22"/>
                <w:szCs w:val="22"/>
                <w:lang w:val="en-US"/>
              </w:rPr>
              <w:t xml:space="preserve">key indicators to </w:t>
            </w:r>
            <w:r>
              <w:rPr>
                <w:sz w:val="22"/>
                <w:szCs w:val="22"/>
                <w:lang w:val="en-US"/>
              </w:rPr>
              <w:t xml:space="preserve">gauge </w:t>
            </w:r>
            <w:r w:rsidRPr="00BC232A">
              <w:rPr>
                <w:sz w:val="22"/>
                <w:szCs w:val="22"/>
                <w:lang w:val="en-US"/>
              </w:rPr>
              <w:t>success</w:t>
            </w:r>
            <w:r>
              <w:rPr>
                <w:sz w:val="22"/>
                <w:szCs w:val="22"/>
                <w:lang w:val="en-US"/>
              </w:rPr>
              <w:t>.</w:t>
            </w:r>
          </w:p>
          <w:p w14:paraId="503C1D6F" w14:textId="15AAF8E5" w:rsidR="00EB0B2C" w:rsidRPr="00B21390" w:rsidRDefault="00EB0B2C" w:rsidP="00B21390">
            <w:pPr>
              <w:suppressAutoHyphens/>
              <w:autoSpaceDN w:val="0"/>
              <w:spacing w:line="247" w:lineRule="auto"/>
              <w:ind w:right="141"/>
              <w:rPr>
                <w:sz w:val="22"/>
                <w:szCs w:val="22"/>
                <w:lang w:val="en-US"/>
              </w:rPr>
            </w:pPr>
          </w:p>
        </w:tc>
        <w:tc>
          <w:tcPr>
            <w:tcW w:w="888" w:type="dxa"/>
            <w:tcBorders>
              <w:top w:val="single" w:sz="4" w:space="0" w:color="000000"/>
              <w:left w:val="single" w:sz="4" w:space="0" w:color="000000"/>
              <w:bottom w:val="single" w:sz="4" w:space="0" w:color="000000"/>
              <w:right w:val="single" w:sz="4" w:space="0" w:color="000000"/>
            </w:tcBorders>
            <w:shd w:val="clear" w:color="auto" w:fill="92D050"/>
          </w:tcPr>
          <w:p w14:paraId="2D420A43" w14:textId="0FA197C2" w:rsidR="00EB0B2C" w:rsidRPr="00EB0B2C" w:rsidRDefault="00EB0B2C" w:rsidP="00F61F4B">
            <w:pPr>
              <w:spacing w:line="247" w:lineRule="auto"/>
              <w:ind w:right="141"/>
              <w:rPr>
                <w:rFonts w:cs="Arial"/>
                <w:b/>
                <w:bCs/>
                <w:sz w:val="22"/>
                <w:szCs w:val="22"/>
                <w:lang w:val="en-US" w:eastAsia="en-GB"/>
              </w:rPr>
            </w:pPr>
            <w:r w:rsidRPr="00EB0B2C">
              <w:rPr>
                <w:rFonts w:cs="Arial"/>
                <w:b/>
                <w:bCs/>
                <w:sz w:val="22"/>
                <w:szCs w:val="22"/>
                <w:lang w:val="en-US" w:eastAsia="en-GB"/>
              </w:rPr>
              <w:t>Green</w:t>
            </w:r>
          </w:p>
        </w:tc>
      </w:tr>
      <w:tr w:rsidR="00EB0B2C" w:rsidRPr="00BC232A" w14:paraId="74050D9C" w14:textId="77777777" w:rsidTr="00EB0B2C">
        <w:tc>
          <w:tcPr>
            <w:tcW w:w="846" w:type="dxa"/>
            <w:tcBorders>
              <w:top w:val="single" w:sz="4" w:space="0" w:color="000000"/>
              <w:left w:val="single" w:sz="4" w:space="0" w:color="000000"/>
              <w:bottom w:val="single" w:sz="4" w:space="0" w:color="000000"/>
              <w:right w:val="single" w:sz="4" w:space="0" w:color="000000"/>
            </w:tcBorders>
          </w:tcPr>
          <w:p w14:paraId="72A53F1A" w14:textId="194BB6CF" w:rsidR="00EB0B2C" w:rsidRPr="00BC232A" w:rsidRDefault="00EB0B2C" w:rsidP="00F61F4B">
            <w:pPr>
              <w:spacing w:line="247" w:lineRule="auto"/>
              <w:ind w:right="141"/>
              <w:rPr>
                <w:rFonts w:cs="Arial"/>
                <w:sz w:val="22"/>
                <w:szCs w:val="22"/>
                <w:lang w:val="en-US" w:eastAsia="en-GB"/>
              </w:rPr>
            </w:pPr>
            <w:r>
              <w:rPr>
                <w:rFonts w:cs="Arial"/>
                <w:sz w:val="22"/>
                <w:szCs w:val="22"/>
                <w:lang w:val="en-US" w:eastAsia="en-GB"/>
              </w:rPr>
              <w:t>8</w:t>
            </w:r>
          </w:p>
        </w:tc>
        <w:tc>
          <w:tcPr>
            <w:tcW w:w="3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189D6" w14:textId="741C097F" w:rsidR="00EB0B2C" w:rsidRPr="00BC232A" w:rsidRDefault="00EB0B2C" w:rsidP="00F61F4B">
            <w:pPr>
              <w:spacing w:line="247" w:lineRule="auto"/>
              <w:ind w:right="141"/>
              <w:rPr>
                <w:rFonts w:cs="Arial"/>
                <w:sz w:val="22"/>
                <w:szCs w:val="22"/>
                <w:lang w:val="en-US" w:eastAsia="en-GB"/>
              </w:rPr>
            </w:pPr>
            <w:r w:rsidRPr="00BC232A">
              <w:rPr>
                <w:rFonts w:cs="Arial"/>
                <w:sz w:val="22"/>
                <w:szCs w:val="22"/>
                <w:lang w:val="en-US" w:eastAsia="en-GB"/>
              </w:rPr>
              <w:t>There is a legal challenge to the plans for breach of public contracts regulations</w:t>
            </w:r>
            <w:r>
              <w:rPr>
                <w:rFonts w:cs="Arial"/>
                <w:sz w:val="22"/>
                <w:szCs w:val="22"/>
                <w:lang w:val="en-US" w:eastAsia="en-GB"/>
              </w:rPr>
              <w:t>. That is, under procurement law it is unlawful to include the payment of the RLW as a qualifying criterion.</w:t>
            </w: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76944" w14:textId="6406D58D" w:rsidR="00EB0B2C" w:rsidRPr="00BC232A" w:rsidRDefault="00EB0B2C" w:rsidP="005E00C3">
            <w:pPr>
              <w:pStyle w:val="ListParagraph"/>
              <w:numPr>
                <w:ilvl w:val="0"/>
                <w:numId w:val="6"/>
              </w:numPr>
              <w:suppressAutoHyphens/>
              <w:autoSpaceDN w:val="0"/>
              <w:spacing w:line="247" w:lineRule="auto"/>
              <w:ind w:left="171" w:right="141" w:hanging="171"/>
              <w:rPr>
                <w:sz w:val="22"/>
                <w:szCs w:val="22"/>
                <w:lang w:val="en-US"/>
              </w:rPr>
            </w:pPr>
            <w:r w:rsidRPr="00BC232A">
              <w:rPr>
                <w:sz w:val="22"/>
                <w:szCs w:val="22"/>
                <w:lang w:val="en-US"/>
              </w:rPr>
              <w:t>The risks of challenge to the application of the RLW into tendering are medium. There are 16 London Boroughs already on this journey and none have had a challenge to date.</w:t>
            </w:r>
          </w:p>
          <w:p w14:paraId="363EBE90" w14:textId="77777777" w:rsidR="00EB0B2C" w:rsidRPr="00BC232A" w:rsidRDefault="00EB0B2C" w:rsidP="005E00C3">
            <w:pPr>
              <w:pStyle w:val="ListParagraph"/>
              <w:suppressAutoHyphens/>
              <w:autoSpaceDN w:val="0"/>
              <w:spacing w:line="247" w:lineRule="auto"/>
              <w:ind w:left="171" w:right="141"/>
              <w:rPr>
                <w:sz w:val="22"/>
                <w:szCs w:val="22"/>
                <w:lang w:val="en-US"/>
              </w:rPr>
            </w:pPr>
          </w:p>
          <w:p w14:paraId="5721B42D" w14:textId="4133E270" w:rsidR="00EB0B2C" w:rsidRPr="00BC232A" w:rsidRDefault="00EB0B2C" w:rsidP="00A52892">
            <w:pPr>
              <w:pStyle w:val="ListParagraph"/>
              <w:numPr>
                <w:ilvl w:val="0"/>
                <w:numId w:val="6"/>
              </w:numPr>
              <w:suppressAutoHyphens/>
              <w:autoSpaceDN w:val="0"/>
              <w:spacing w:line="247" w:lineRule="auto"/>
              <w:ind w:left="171" w:right="141" w:hanging="171"/>
              <w:rPr>
                <w:sz w:val="22"/>
                <w:szCs w:val="22"/>
                <w:lang w:val="en-US"/>
              </w:rPr>
            </w:pPr>
            <w:r w:rsidRPr="00BC232A">
              <w:rPr>
                <w:sz w:val="22"/>
                <w:szCs w:val="22"/>
                <w:lang w:val="en-US"/>
              </w:rPr>
              <w:t xml:space="preserve">Procurement and Legal will continue to </w:t>
            </w:r>
            <w:r w:rsidRPr="00BC232A">
              <w:rPr>
                <w:sz w:val="22"/>
                <w:szCs w:val="22"/>
                <w:lang w:val="en-US"/>
              </w:rPr>
              <w:lastRenderedPageBreak/>
              <w:t>work together on a tender by tender basis to minimize risk of challenge.</w:t>
            </w:r>
          </w:p>
        </w:tc>
        <w:tc>
          <w:tcPr>
            <w:tcW w:w="888" w:type="dxa"/>
            <w:tcBorders>
              <w:top w:val="single" w:sz="4" w:space="0" w:color="000000"/>
              <w:left w:val="single" w:sz="4" w:space="0" w:color="000000"/>
              <w:bottom w:val="single" w:sz="4" w:space="0" w:color="000000"/>
              <w:right w:val="single" w:sz="4" w:space="0" w:color="000000"/>
            </w:tcBorders>
            <w:shd w:val="clear" w:color="auto" w:fill="FFC000"/>
          </w:tcPr>
          <w:p w14:paraId="430A0F98" w14:textId="4ECA0DAD" w:rsidR="00EB0B2C" w:rsidRPr="00EB0B2C" w:rsidRDefault="00EB0B2C" w:rsidP="00F61F4B">
            <w:pPr>
              <w:spacing w:line="247" w:lineRule="auto"/>
              <w:ind w:right="141"/>
              <w:rPr>
                <w:rFonts w:cs="Arial"/>
                <w:b/>
                <w:bCs/>
                <w:sz w:val="22"/>
                <w:szCs w:val="22"/>
                <w:lang w:val="en-US" w:eastAsia="en-GB"/>
              </w:rPr>
            </w:pPr>
            <w:r w:rsidRPr="00EB0B2C">
              <w:rPr>
                <w:rFonts w:cs="Arial"/>
                <w:b/>
                <w:bCs/>
                <w:sz w:val="22"/>
                <w:szCs w:val="22"/>
                <w:lang w:val="en-US" w:eastAsia="en-GB"/>
              </w:rPr>
              <w:lastRenderedPageBreak/>
              <w:t>Amber</w:t>
            </w:r>
          </w:p>
        </w:tc>
      </w:tr>
      <w:tr w:rsidR="00EB0B2C" w:rsidRPr="00793665" w14:paraId="2ABF85DA" w14:textId="77777777" w:rsidTr="00EB0B2C">
        <w:tc>
          <w:tcPr>
            <w:tcW w:w="846" w:type="dxa"/>
            <w:tcBorders>
              <w:top w:val="single" w:sz="4" w:space="0" w:color="000000"/>
              <w:left w:val="single" w:sz="4" w:space="0" w:color="000000"/>
              <w:bottom w:val="single" w:sz="4" w:space="0" w:color="000000"/>
              <w:right w:val="single" w:sz="4" w:space="0" w:color="000000"/>
            </w:tcBorders>
          </w:tcPr>
          <w:p w14:paraId="7260C9E6" w14:textId="08B0D987" w:rsidR="00EB0B2C" w:rsidRPr="00F0155C" w:rsidRDefault="00EB0B2C" w:rsidP="00C500E3">
            <w:pPr>
              <w:spacing w:line="247" w:lineRule="auto"/>
              <w:ind w:right="141"/>
              <w:rPr>
                <w:rFonts w:cs="Arial"/>
                <w:sz w:val="22"/>
                <w:szCs w:val="22"/>
                <w:lang w:val="en-US" w:eastAsia="en-GB"/>
              </w:rPr>
            </w:pPr>
            <w:r>
              <w:rPr>
                <w:rFonts w:cs="Arial"/>
                <w:sz w:val="22"/>
                <w:szCs w:val="22"/>
                <w:lang w:val="en-US" w:eastAsia="en-GB"/>
              </w:rPr>
              <w:t>9</w:t>
            </w:r>
          </w:p>
        </w:tc>
        <w:tc>
          <w:tcPr>
            <w:tcW w:w="3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4131D" w14:textId="4872ACED" w:rsidR="00EB0B2C" w:rsidRPr="00BC232A" w:rsidRDefault="00EB0B2C" w:rsidP="00C500E3">
            <w:pPr>
              <w:spacing w:line="247" w:lineRule="auto"/>
              <w:ind w:right="141"/>
              <w:rPr>
                <w:rFonts w:cs="Arial"/>
                <w:sz w:val="22"/>
                <w:szCs w:val="22"/>
                <w:lang w:val="en-US" w:eastAsia="en-GB"/>
              </w:rPr>
            </w:pPr>
            <w:r w:rsidRPr="00F0155C">
              <w:rPr>
                <w:rFonts w:cs="Arial"/>
                <w:sz w:val="22"/>
                <w:szCs w:val="22"/>
                <w:lang w:val="en-US" w:eastAsia="en-GB"/>
              </w:rPr>
              <w:t xml:space="preserve">The proposal is unaffordable </w:t>
            </w:r>
          </w:p>
        </w:tc>
        <w:tc>
          <w:tcPr>
            <w:tcW w:w="2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B64C6" w14:textId="1C33A31D" w:rsidR="00EB0B2C" w:rsidRPr="004763ED" w:rsidRDefault="00EB0B2C" w:rsidP="004763ED">
            <w:pPr>
              <w:pStyle w:val="ListParagraph"/>
              <w:numPr>
                <w:ilvl w:val="0"/>
                <w:numId w:val="6"/>
              </w:numPr>
              <w:suppressAutoHyphens/>
              <w:autoSpaceDN w:val="0"/>
              <w:spacing w:line="247" w:lineRule="auto"/>
              <w:ind w:left="171" w:right="141" w:hanging="171"/>
              <w:rPr>
                <w:sz w:val="22"/>
                <w:szCs w:val="22"/>
                <w:lang w:val="en-US"/>
              </w:rPr>
            </w:pPr>
            <w:r w:rsidRPr="004763ED">
              <w:rPr>
                <w:sz w:val="22"/>
                <w:szCs w:val="22"/>
                <w:lang w:val="en-US"/>
              </w:rPr>
              <w:t>The 2022/2023 draft budget and three-year draft MTFS includes a budget provision of £450k in years 2022/2023 which is intended to cover the implementation of the wage in the early years. The MTFS will be refreshed as the implementation plan proceeds.</w:t>
            </w:r>
          </w:p>
          <w:p w14:paraId="095E2ECF" w14:textId="77777777" w:rsidR="00EB0B2C" w:rsidRPr="004763ED" w:rsidRDefault="00EB0B2C" w:rsidP="004763ED">
            <w:pPr>
              <w:suppressAutoHyphens/>
              <w:autoSpaceDN w:val="0"/>
              <w:spacing w:line="247" w:lineRule="auto"/>
              <w:ind w:right="141"/>
              <w:rPr>
                <w:sz w:val="22"/>
                <w:szCs w:val="22"/>
                <w:lang w:val="en-US"/>
              </w:rPr>
            </w:pPr>
          </w:p>
        </w:tc>
        <w:tc>
          <w:tcPr>
            <w:tcW w:w="888" w:type="dxa"/>
            <w:tcBorders>
              <w:top w:val="single" w:sz="4" w:space="0" w:color="000000"/>
              <w:left w:val="single" w:sz="4" w:space="0" w:color="000000"/>
              <w:bottom w:val="single" w:sz="4" w:space="0" w:color="000000"/>
              <w:right w:val="single" w:sz="4" w:space="0" w:color="000000"/>
            </w:tcBorders>
            <w:shd w:val="clear" w:color="auto" w:fill="FFC000"/>
          </w:tcPr>
          <w:p w14:paraId="7D3664A2" w14:textId="2494534B" w:rsidR="00EB0B2C" w:rsidRPr="00EB0B2C" w:rsidRDefault="00EB0B2C" w:rsidP="00C500E3">
            <w:pPr>
              <w:spacing w:line="247" w:lineRule="auto"/>
              <w:ind w:right="141"/>
              <w:rPr>
                <w:rFonts w:cs="Arial"/>
                <w:b/>
                <w:bCs/>
                <w:sz w:val="22"/>
                <w:szCs w:val="22"/>
                <w:lang w:val="en-US" w:eastAsia="en-GB"/>
              </w:rPr>
            </w:pPr>
            <w:r w:rsidRPr="00EB0B2C">
              <w:rPr>
                <w:rFonts w:cs="Arial"/>
                <w:b/>
                <w:bCs/>
                <w:sz w:val="22"/>
                <w:szCs w:val="22"/>
                <w:lang w:val="en-US" w:eastAsia="en-GB"/>
              </w:rPr>
              <w:t>Amber</w:t>
            </w:r>
          </w:p>
        </w:tc>
      </w:tr>
      <w:bookmarkEnd w:id="2"/>
      <w:bookmarkEnd w:id="3"/>
    </w:tbl>
    <w:p w14:paraId="47A319D1" w14:textId="77777777" w:rsidR="00C94C4A" w:rsidRDefault="00C94C4A" w:rsidP="00C94C4A">
      <w:pPr>
        <w:pStyle w:val="Heading3"/>
      </w:pPr>
    </w:p>
    <w:p w14:paraId="0249BBDB" w14:textId="4B67FCA0" w:rsidR="002A3FEF" w:rsidRPr="00950D5B" w:rsidRDefault="002A3FEF" w:rsidP="00C94C4A">
      <w:pPr>
        <w:pStyle w:val="Heading3"/>
        <w:rPr>
          <w:sz w:val="24"/>
          <w:szCs w:val="24"/>
        </w:rPr>
      </w:pPr>
      <w:r w:rsidRPr="00950D5B">
        <w:rPr>
          <w:sz w:val="24"/>
          <w:szCs w:val="24"/>
        </w:rPr>
        <w:t>Procurement Implications</w:t>
      </w:r>
    </w:p>
    <w:p w14:paraId="2EB90892" w14:textId="77777777" w:rsidR="004D036F" w:rsidRDefault="004D036F" w:rsidP="00AD1E77"/>
    <w:p w14:paraId="7EC80D9E" w14:textId="5BB49248" w:rsidR="00300DAB" w:rsidRDefault="00300DAB" w:rsidP="00AD1E77">
      <w:r>
        <w:t xml:space="preserve">The introduction of the </w:t>
      </w:r>
      <w:r w:rsidR="003B794D">
        <w:t>RLW</w:t>
      </w:r>
      <w:r>
        <w:t xml:space="preserve"> into our supply chain </w:t>
      </w:r>
      <w:r w:rsidR="002B5E8A">
        <w:t xml:space="preserve">comes with </w:t>
      </w:r>
      <w:r w:rsidR="00430DD7">
        <w:t>several</w:t>
      </w:r>
      <w:r w:rsidR="002B5E8A">
        <w:t xml:space="preserve"> </w:t>
      </w:r>
      <w:r w:rsidR="004F42DA">
        <w:t xml:space="preserve">non-financial challenges and </w:t>
      </w:r>
      <w:r>
        <w:t xml:space="preserve">will require </w:t>
      </w:r>
      <w:r w:rsidR="003436D0">
        <w:t xml:space="preserve">changes to the way </w:t>
      </w:r>
      <w:r w:rsidR="00B00697">
        <w:t xml:space="preserve">the Council </w:t>
      </w:r>
      <w:r w:rsidR="003436D0">
        <w:t xml:space="preserve">commission, procure and contract manage suppliers that </w:t>
      </w:r>
      <w:r w:rsidR="00401848">
        <w:t>are paid</w:t>
      </w:r>
      <w:r w:rsidR="00422E49">
        <w:t xml:space="preserve"> the living wage. </w:t>
      </w:r>
    </w:p>
    <w:p w14:paraId="5EC25573" w14:textId="6054FDF5" w:rsidR="00422E49" w:rsidRDefault="00422E49" w:rsidP="00AD1E77"/>
    <w:p w14:paraId="6D7AB421" w14:textId="5B194DE7" w:rsidR="00A230B4" w:rsidRDefault="00422E49" w:rsidP="00AD1E77">
      <w:r>
        <w:t xml:space="preserve">At the pre procurement phase </w:t>
      </w:r>
      <w:r w:rsidR="008533C4">
        <w:t xml:space="preserve">commissioning and procurement </w:t>
      </w:r>
      <w:r w:rsidR="00232C17">
        <w:t>must</w:t>
      </w:r>
      <w:r w:rsidR="008533C4">
        <w:t xml:space="preserve"> develop </w:t>
      </w:r>
      <w:r w:rsidR="008D3C60">
        <w:t xml:space="preserve">the procurement documents in a way that ensures that the market </w:t>
      </w:r>
      <w:r w:rsidR="00E647E9">
        <w:t xml:space="preserve">is clear that </w:t>
      </w:r>
      <w:r w:rsidR="00037930">
        <w:t xml:space="preserve">the Council </w:t>
      </w:r>
      <w:r w:rsidR="00E647E9">
        <w:t>will be seeking submissions that reflect as a minimum</w:t>
      </w:r>
      <w:r w:rsidR="000B49DD">
        <w:t xml:space="preserve"> the payment of the RLW.</w:t>
      </w:r>
      <w:r w:rsidR="00FB61BE">
        <w:t xml:space="preserve"> </w:t>
      </w:r>
      <w:r w:rsidR="00C03CF4">
        <w:t xml:space="preserve">A </w:t>
      </w:r>
      <w:r w:rsidR="00FB61BE">
        <w:t>review the Council</w:t>
      </w:r>
      <w:r w:rsidR="00CC52FA">
        <w:t>’</w:t>
      </w:r>
      <w:r w:rsidR="00FB61BE">
        <w:t xml:space="preserve">s terms and conditions of contract </w:t>
      </w:r>
      <w:r w:rsidR="00C03CF4">
        <w:t xml:space="preserve">will also </w:t>
      </w:r>
      <w:r w:rsidR="00950E76">
        <w:t xml:space="preserve">be undertaken </w:t>
      </w:r>
      <w:r w:rsidR="00FB61BE">
        <w:t xml:space="preserve">to </w:t>
      </w:r>
      <w:r w:rsidR="00480438">
        <w:t xml:space="preserve">ensure there are clauses in them that are clear </w:t>
      </w:r>
      <w:r w:rsidR="00770D0D">
        <w:t xml:space="preserve">that the supplier </w:t>
      </w:r>
      <w:r w:rsidR="006D4F3F">
        <w:t>must</w:t>
      </w:r>
      <w:r w:rsidR="00770D0D">
        <w:t xml:space="preserve"> pay the RLW and that </w:t>
      </w:r>
      <w:r w:rsidR="00950E76">
        <w:t xml:space="preserve">the Council </w:t>
      </w:r>
      <w:r w:rsidR="00125690">
        <w:t>will</w:t>
      </w:r>
      <w:r w:rsidR="0001696E">
        <w:t xml:space="preserve">, </w:t>
      </w:r>
      <w:r w:rsidR="00125690">
        <w:t>through contract management</w:t>
      </w:r>
      <w:r w:rsidR="006D5536">
        <w:t>,</w:t>
      </w:r>
      <w:r w:rsidR="00125690">
        <w:t xml:space="preserve"> </w:t>
      </w:r>
      <w:r w:rsidR="0001696E">
        <w:t xml:space="preserve">require evidence </w:t>
      </w:r>
      <w:r w:rsidR="00A230B4">
        <w:t xml:space="preserve">that this is happening. </w:t>
      </w:r>
    </w:p>
    <w:p w14:paraId="3ECE8813" w14:textId="14470F35" w:rsidR="000F524B" w:rsidRDefault="000F524B" w:rsidP="00AD1E77"/>
    <w:p w14:paraId="0AA49E7C" w14:textId="4D8F73E1" w:rsidR="007E50DE" w:rsidRDefault="001F3C05" w:rsidP="007E50DE">
      <w:pPr>
        <w:spacing w:after="160" w:line="259" w:lineRule="auto"/>
        <w:rPr>
          <w:rFonts w:cs="Arial"/>
        </w:rPr>
      </w:pPr>
      <w:r>
        <w:rPr>
          <w:rFonts w:cs="Arial"/>
        </w:rPr>
        <w:t xml:space="preserve">The Council </w:t>
      </w:r>
      <w:r w:rsidR="007E50DE">
        <w:rPr>
          <w:rFonts w:cs="Arial"/>
        </w:rPr>
        <w:t xml:space="preserve">are part of joint commissioning with </w:t>
      </w:r>
      <w:r w:rsidR="006D5536">
        <w:rPr>
          <w:rFonts w:cs="Arial"/>
        </w:rPr>
        <w:t xml:space="preserve">other </w:t>
      </w:r>
      <w:r w:rsidR="007E50DE">
        <w:rPr>
          <w:rFonts w:cs="Arial"/>
        </w:rPr>
        <w:t>W</w:t>
      </w:r>
      <w:r w:rsidR="006D5536">
        <w:rPr>
          <w:rFonts w:cs="Arial"/>
        </w:rPr>
        <w:t xml:space="preserve">est </w:t>
      </w:r>
      <w:r w:rsidR="007E50DE">
        <w:rPr>
          <w:rFonts w:cs="Arial"/>
        </w:rPr>
        <w:t>L</w:t>
      </w:r>
      <w:r w:rsidR="006D5536">
        <w:rPr>
          <w:rFonts w:cs="Arial"/>
        </w:rPr>
        <w:t xml:space="preserve">ondon </w:t>
      </w:r>
      <w:r w:rsidR="007E50DE">
        <w:rPr>
          <w:rFonts w:cs="Arial"/>
        </w:rPr>
        <w:t>A</w:t>
      </w:r>
      <w:r w:rsidR="006D5536">
        <w:rPr>
          <w:rFonts w:cs="Arial"/>
        </w:rPr>
        <w:t>lliance</w:t>
      </w:r>
      <w:r w:rsidR="007E50DE">
        <w:rPr>
          <w:rFonts w:cs="Arial"/>
        </w:rPr>
        <w:t xml:space="preserve"> boroughs</w:t>
      </w:r>
      <w:r w:rsidR="0009259B">
        <w:rPr>
          <w:rFonts w:cs="Arial"/>
        </w:rPr>
        <w:t xml:space="preserve"> for social care.</w:t>
      </w:r>
      <w:r w:rsidR="007E50DE">
        <w:rPr>
          <w:rFonts w:cs="Arial"/>
        </w:rPr>
        <w:t xml:space="preserve"> </w:t>
      </w:r>
      <w:r>
        <w:rPr>
          <w:rFonts w:cs="Arial"/>
        </w:rPr>
        <w:t xml:space="preserve">All WLA boroughs </w:t>
      </w:r>
      <w:r w:rsidR="007E50DE">
        <w:rPr>
          <w:rFonts w:cs="Arial"/>
        </w:rPr>
        <w:t>use common homes and call off the same frameworks</w:t>
      </w:r>
      <w:r w:rsidR="0009259B">
        <w:rPr>
          <w:rFonts w:cs="Arial"/>
        </w:rPr>
        <w:t xml:space="preserve"> and </w:t>
      </w:r>
      <w:r w:rsidR="007E50DE">
        <w:rPr>
          <w:rFonts w:cs="Arial"/>
        </w:rPr>
        <w:t>D</w:t>
      </w:r>
      <w:r w:rsidR="00873F81">
        <w:rPr>
          <w:rFonts w:cs="Arial"/>
        </w:rPr>
        <w:t xml:space="preserve">ynamic </w:t>
      </w:r>
      <w:r w:rsidR="007E50DE">
        <w:rPr>
          <w:rFonts w:cs="Arial"/>
        </w:rPr>
        <w:t>P</w:t>
      </w:r>
      <w:r w:rsidR="00873F81">
        <w:rPr>
          <w:rFonts w:cs="Arial"/>
        </w:rPr>
        <w:t xml:space="preserve">urchasing </w:t>
      </w:r>
      <w:r w:rsidR="007E50DE">
        <w:rPr>
          <w:rFonts w:cs="Arial"/>
        </w:rPr>
        <w:t>S</w:t>
      </w:r>
      <w:r w:rsidR="00873F81">
        <w:rPr>
          <w:rFonts w:cs="Arial"/>
        </w:rPr>
        <w:t>ystems</w:t>
      </w:r>
      <w:r w:rsidR="007E50DE">
        <w:rPr>
          <w:rFonts w:cs="Arial"/>
        </w:rPr>
        <w:t xml:space="preserve"> to spot place</w:t>
      </w:r>
      <w:r w:rsidR="00873F81">
        <w:rPr>
          <w:rFonts w:cs="Arial"/>
        </w:rPr>
        <w:t xml:space="preserve"> clients</w:t>
      </w:r>
      <w:r w:rsidR="007E50DE">
        <w:rPr>
          <w:rFonts w:cs="Arial"/>
        </w:rPr>
        <w:t xml:space="preserve">. </w:t>
      </w:r>
      <w:r w:rsidR="00F455B0">
        <w:rPr>
          <w:rFonts w:cs="Arial"/>
        </w:rPr>
        <w:t>Harrow Council w</w:t>
      </w:r>
      <w:r w:rsidR="007E50DE">
        <w:rPr>
          <w:rFonts w:cs="Arial"/>
        </w:rPr>
        <w:t>ill</w:t>
      </w:r>
      <w:r w:rsidR="00F455B0">
        <w:rPr>
          <w:rFonts w:cs="Arial"/>
        </w:rPr>
        <w:t xml:space="preserve"> need to understand if</w:t>
      </w:r>
      <w:r w:rsidR="007E50DE">
        <w:rPr>
          <w:rFonts w:cs="Arial"/>
        </w:rPr>
        <w:t xml:space="preserve"> </w:t>
      </w:r>
      <w:r w:rsidR="00AD2F5D">
        <w:rPr>
          <w:rFonts w:cs="Arial"/>
        </w:rPr>
        <w:t xml:space="preserve">our actions could have </w:t>
      </w:r>
      <w:r w:rsidR="007E50DE">
        <w:rPr>
          <w:rFonts w:cs="Arial"/>
        </w:rPr>
        <w:t xml:space="preserve">a wider economic issue/impact on the WLA if </w:t>
      </w:r>
      <w:r w:rsidR="001F368A">
        <w:rPr>
          <w:rFonts w:cs="Arial"/>
        </w:rPr>
        <w:t xml:space="preserve">Harrow Council </w:t>
      </w:r>
      <w:r w:rsidR="007E50DE">
        <w:rPr>
          <w:rFonts w:cs="Arial"/>
        </w:rPr>
        <w:t>go ahead and pay the RLW to common suppliers of residential and nursing services</w:t>
      </w:r>
      <w:r w:rsidR="00C66E59">
        <w:rPr>
          <w:rFonts w:cs="Arial"/>
        </w:rPr>
        <w:t>.</w:t>
      </w:r>
      <w:r w:rsidR="007E50DE" w:rsidRPr="00027392">
        <w:rPr>
          <w:rFonts w:cs="Arial"/>
        </w:rPr>
        <w:t xml:space="preserve"> </w:t>
      </w:r>
      <w:r w:rsidR="007E50DE" w:rsidRPr="00511699">
        <w:rPr>
          <w:rFonts w:cs="Arial"/>
        </w:rPr>
        <w:t>In ma</w:t>
      </w:r>
      <w:r w:rsidR="007E50DE">
        <w:rPr>
          <w:rFonts w:cs="Arial"/>
        </w:rPr>
        <w:t>n</w:t>
      </w:r>
      <w:r w:rsidR="007E50DE" w:rsidRPr="00511699">
        <w:rPr>
          <w:rFonts w:cs="Arial"/>
        </w:rPr>
        <w:t xml:space="preserve">y cases the staff involved in these contracts will effectively work across more than one local authority and any attempt to apply RLW may cause </w:t>
      </w:r>
      <w:r w:rsidR="007E50DE">
        <w:rPr>
          <w:rFonts w:cs="Arial"/>
        </w:rPr>
        <w:t xml:space="preserve">‘bidding wars’ with </w:t>
      </w:r>
      <w:r w:rsidR="007E50DE" w:rsidRPr="00511699">
        <w:rPr>
          <w:rFonts w:cs="Arial"/>
        </w:rPr>
        <w:t xml:space="preserve">other local authorities. </w:t>
      </w:r>
      <w:r w:rsidR="007E50DE">
        <w:rPr>
          <w:rFonts w:cs="Arial"/>
        </w:rPr>
        <w:t xml:space="preserve">Suppliers may well reserve beds for the highest payer. </w:t>
      </w:r>
      <w:r w:rsidR="007E50DE" w:rsidRPr="00511699">
        <w:rPr>
          <w:rFonts w:cs="Arial"/>
        </w:rPr>
        <w:t>These</w:t>
      </w:r>
      <w:r w:rsidR="007E50DE">
        <w:rPr>
          <w:rFonts w:cs="Arial"/>
        </w:rPr>
        <w:t xml:space="preserve"> issues</w:t>
      </w:r>
      <w:r w:rsidR="007E50DE" w:rsidRPr="00511699">
        <w:rPr>
          <w:rFonts w:cs="Arial"/>
        </w:rPr>
        <w:t xml:space="preserve"> may effectively exclude Harrow from using such joint arrangements, which it currently relies on to fulfil its care obligations.</w:t>
      </w:r>
    </w:p>
    <w:p w14:paraId="6860B916" w14:textId="77777777" w:rsidR="007E50DE" w:rsidRPr="00555271" w:rsidRDefault="007E50DE" w:rsidP="007E50DE">
      <w:pPr>
        <w:spacing w:after="160" w:line="259" w:lineRule="auto"/>
        <w:rPr>
          <w:rFonts w:cs="Arial"/>
        </w:rPr>
      </w:pPr>
      <w:r>
        <w:rPr>
          <w:rFonts w:cs="Arial"/>
        </w:rPr>
        <w:t>A commissioning strategy which looks to create more block contracting arrangements for our residential and nursing services would be required as a part solution to the above-mentioned issues.</w:t>
      </w:r>
    </w:p>
    <w:p w14:paraId="61A96A1D" w14:textId="67800436" w:rsidR="007E50DE" w:rsidRPr="00A213C8" w:rsidRDefault="007E50DE" w:rsidP="007E50DE">
      <w:pPr>
        <w:spacing w:after="160" w:line="259" w:lineRule="auto"/>
        <w:rPr>
          <w:rFonts w:cs="Arial"/>
        </w:rPr>
      </w:pPr>
      <w:r>
        <w:rPr>
          <w:rFonts w:cs="Arial"/>
        </w:rPr>
        <w:t xml:space="preserve">If </w:t>
      </w:r>
      <w:r w:rsidR="00EF3BDC">
        <w:rPr>
          <w:rFonts w:cs="Arial"/>
        </w:rPr>
        <w:t xml:space="preserve">the Council </w:t>
      </w:r>
      <w:r w:rsidR="00781053">
        <w:rPr>
          <w:rFonts w:cs="Arial"/>
        </w:rPr>
        <w:t xml:space="preserve">require </w:t>
      </w:r>
      <w:r>
        <w:rPr>
          <w:rFonts w:cs="Arial"/>
        </w:rPr>
        <w:t xml:space="preserve">our supply chain </w:t>
      </w:r>
      <w:r w:rsidR="00281DB3">
        <w:rPr>
          <w:rFonts w:cs="Arial"/>
        </w:rPr>
        <w:t xml:space="preserve">to pay </w:t>
      </w:r>
      <w:r>
        <w:rPr>
          <w:rFonts w:cs="Arial"/>
        </w:rPr>
        <w:t xml:space="preserve">the RLW </w:t>
      </w:r>
      <w:r w:rsidR="00BF42BE">
        <w:rPr>
          <w:rFonts w:cs="Arial"/>
        </w:rPr>
        <w:t xml:space="preserve">then the benefit of doing so must </w:t>
      </w:r>
      <w:r w:rsidR="00A54E3D">
        <w:rPr>
          <w:rFonts w:cs="Arial"/>
        </w:rPr>
        <w:t>be measurable</w:t>
      </w:r>
      <w:r>
        <w:rPr>
          <w:rFonts w:cs="Arial"/>
        </w:rPr>
        <w:t xml:space="preserve">. </w:t>
      </w:r>
      <w:r w:rsidR="007E692D">
        <w:rPr>
          <w:rFonts w:cs="Arial"/>
        </w:rPr>
        <w:t xml:space="preserve">The Council </w:t>
      </w:r>
      <w:r>
        <w:rPr>
          <w:rFonts w:cs="Arial"/>
        </w:rPr>
        <w:t xml:space="preserve">would expect a higher level of </w:t>
      </w:r>
      <w:r>
        <w:rPr>
          <w:rFonts w:cs="Arial"/>
        </w:rPr>
        <w:lastRenderedPageBreak/>
        <w:t xml:space="preserve">service and contract </w:t>
      </w:r>
      <w:r w:rsidR="00E73ED9">
        <w:rPr>
          <w:rFonts w:cs="Arial"/>
        </w:rPr>
        <w:t>delivery and</w:t>
      </w:r>
      <w:r w:rsidR="005E775A">
        <w:rPr>
          <w:rFonts w:cs="Arial"/>
        </w:rPr>
        <w:t xml:space="preserve"> be able to </w:t>
      </w:r>
      <w:r w:rsidR="009161BE">
        <w:rPr>
          <w:rFonts w:cs="Arial"/>
        </w:rPr>
        <w:t>measure</w:t>
      </w:r>
      <w:r>
        <w:rPr>
          <w:rFonts w:cs="Arial"/>
        </w:rPr>
        <w:t xml:space="preserve"> this</w:t>
      </w:r>
      <w:r w:rsidR="005E775A">
        <w:rPr>
          <w:rFonts w:cs="Arial"/>
        </w:rPr>
        <w:t>.</w:t>
      </w:r>
      <w:r>
        <w:rPr>
          <w:rFonts w:cs="Arial"/>
        </w:rPr>
        <w:t xml:space="preserve"> Commissioning would need to ensure specifications and KPIs look to capture quality improvements. Similarly, our active contract management would need to improve to ensure </w:t>
      </w:r>
      <w:r w:rsidR="00950D5B">
        <w:rPr>
          <w:rFonts w:cs="Arial"/>
        </w:rPr>
        <w:t>improvements can</w:t>
      </w:r>
      <w:r w:rsidR="00F37378">
        <w:rPr>
          <w:rFonts w:cs="Arial"/>
        </w:rPr>
        <w:t xml:space="preserve"> be evidenced </w:t>
      </w:r>
      <w:r>
        <w:rPr>
          <w:rFonts w:cs="Arial"/>
        </w:rPr>
        <w:t xml:space="preserve">as a result of paying the RLW.  </w:t>
      </w:r>
    </w:p>
    <w:tbl>
      <w:tblPr>
        <w:tblStyle w:val="TableGrid"/>
        <w:tblW w:w="8500" w:type="dxa"/>
        <w:tblLook w:val="04A0" w:firstRow="1" w:lastRow="0" w:firstColumn="1" w:lastColumn="0" w:noHBand="0" w:noVBand="1"/>
      </w:tblPr>
      <w:tblGrid>
        <w:gridCol w:w="846"/>
        <w:gridCol w:w="3685"/>
        <w:gridCol w:w="1276"/>
        <w:gridCol w:w="1276"/>
        <w:gridCol w:w="1417"/>
      </w:tblGrid>
      <w:tr w:rsidR="001B57F3" w:rsidRPr="00EB0B2C" w14:paraId="428417C7" w14:textId="77777777" w:rsidTr="00AE7FBA">
        <w:tc>
          <w:tcPr>
            <w:tcW w:w="846" w:type="dxa"/>
          </w:tcPr>
          <w:p w14:paraId="00F9020B" w14:textId="7400DF4A" w:rsidR="001B57F3" w:rsidRPr="00EB0B2C" w:rsidRDefault="00F80ADE" w:rsidP="007E50DE">
            <w:pPr>
              <w:spacing w:after="160" w:line="259" w:lineRule="auto"/>
              <w:rPr>
                <w:rFonts w:cs="Arial"/>
                <w:b/>
                <w:bCs/>
              </w:rPr>
            </w:pPr>
            <w:r>
              <w:rPr>
                <w:rFonts w:cs="Arial"/>
                <w:b/>
                <w:bCs/>
              </w:rPr>
              <w:t>No</w:t>
            </w:r>
          </w:p>
        </w:tc>
        <w:tc>
          <w:tcPr>
            <w:tcW w:w="3685" w:type="dxa"/>
          </w:tcPr>
          <w:p w14:paraId="6BD0023C" w14:textId="25622512" w:rsidR="001B57F3" w:rsidRPr="00EB0B2C" w:rsidRDefault="007E3ACB" w:rsidP="007E50DE">
            <w:pPr>
              <w:spacing w:after="160" w:line="259" w:lineRule="auto"/>
              <w:rPr>
                <w:rFonts w:cs="Arial"/>
                <w:b/>
                <w:bCs/>
              </w:rPr>
            </w:pPr>
            <w:r w:rsidRPr="00EB0B2C">
              <w:rPr>
                <w:rFonts w:cs="Arial"/>
                <w:b/>
                <w:bCs/>
              </w:rPr>
              <w:t>Action</w:t>
            </w:r>
          </w:p>
        </w:tc>
        <w:tc>
          <w:tcPr>
            <w:tcW w:w="1276" w:type="dxa"/>
          </w:tcPr>
          <w:p w14:paraId="25F2B860" w14:textId="2AD4816D" w:rsidR="001B57F3" w:rsidRPr="00EB0B2C" w:rsidRDefault="007E3ACB" w:rsidP="007E50DE">
            <w:pPr>
              <w:spacing w:after="160" w:line="259" w:lineRule="auto"/>
              <w:rPr>
                <w:rFonts w:cs="Arial"/>
                <w:b/>
                <w:bCs/>
              </w:rPr>
            </w:pPr>
            <w:r w:rsidRPr="00EB0B2C">
              <w:rPr>
                <w:rFonts w:cs="Arial"/>
                <w:b/>
                <w:bCs/>
              </w:rPr>
              <w:t>Start</w:t>
            </w:r>
          </w:p>
        </w:tc>
        <w:tc>
          <w:tcPr>
            <w:tcW w:w="1276" w:type="dxa"/>
          </w:tcPr>
          <w:p w14:paraId="6B981490" w14:textId="62D9A86D" w:rsidR="001B57F3" w:rsidRPr="00EB0B2C" w:rsidRDefault="007E3ACB" w:rsidP="007E50DE">
            <w:pPr>
              <w:spacing w:after="160" w:line="259" w:lineRule="auto"/>
              <w:rPr>
                <w:rFonts w:cs="Arial"/>
                <w:b/>
                <w:bCs/>
              </w:rPr>
            </w:pPr>
            <w:r w:rsidRPr="00EB0B2C">
              <w:rPr>
                <w:rFonts w:cs="Arial"/>
                <w:b/>
                <w:bCs/>
              </w:rPr>
              <w:t>End</w:t>
            </w:r>
          </w:p>
        </w:tc>
        <w:tc>
          <w:tcPr>
            <w:tcW w:w="1417" w:type="dxa"/>
          </w:tcPr>
          <w:p w14:paraId="4459C269" w14:textId="05B042B7" w:rsidR="001B57F3" w:rsidRPr="00EB0B2C" w:rsidRDefault="007E3ACB" w:rsidP="007E50DE">
            <w:pPr>
              <w:spacing w:after="160" w:line="259" w:lineRule="auto"/>
              <w:rPr>
                <w:rFonts w:cs="Arial"/>
                <w:b/>
                <w:bCs/>
              </w:rPr>
            </w:pPr>
            <w:r w:rsidRPr="00EB0B2C">
              <w:rPr>
                <w:rFonts w:cs="Arial"/>
                <w:b/>
                <w:bCs/>
              </w:rPr>
              <w:t>Action By</w:t>
            </w:r>
          </w:p>
        </w:tc>
      </w:tr>
      <w:tr w:rsidR="001B57F3" w14:paraId="160F67EC" w14:textId="77777777" w:rsidTr="00AE7FBA">
        <w:tc>
          <w:tcPr>
            <w:tcW w:w="846" w:type="dxa"/>
          </w:tcPr>
          <w:p w14:paraId="6090FAC4" w14:textId="37F11733" w:rsidR="001B57F3" w:rsidRDefault="007E3ACB" w:rsidP="007E50DE">
            <w:pPr>
              <w:spacing w:after="160" w:line="259" w:lineRule="auto"/>
              <w:rPr>
                <w:rFonts w:cs="Arial"/>
              </w:rPr>
            </w:pPr>
            <w:r>
              <w:rPr>
                <w:rFonts w:cs="Arial"/>
              </w:rPr>
              <w:t>1</w:t>
            </w:r>
          </w:p>
        </w:tc>
        <w:tc>
          <w:tcPr>
            <w:tcW w:w="3685" w:type="dxa"/>
          </w:tcPr>
          <w:p w14:paraId="34F12A5D" w14:textId="1969AEB7" w:rsidR="001B57F3" w:rsidRDefault="007175B4" w:rsidP="007E50DE">
            <w:pPr>
              <w:spacing w:after="160" w:line="259" w:lineRule="auto"/>
              <w:rPr>
                <w:rFonts w:cs="Arial"/>
              </w:rPr>
            </w:pPr>
            <w:r>
              <w:rPr>
                <w:rFonts w:cs="Arial"/>
              </w:rPr>
              <w:t>Submit application to the Living Wage Foundation for Accreditation</w:t>
            </w:r>
          </w:p>
        </w:tc>
        <w:tc>
          <w:tcPr>
            <w:tcW w:w="1276" w:type="dxa"/>
          </w:tcPr>
          <w:p w14:paraId="22F3009D" w14:textId="5D9BEF27" w:rsidR="001B57F3" w:rsidRDefault="00AE7FBA" w:rsidP="007E50DE">
            <w:pPr>
              <w:spacing w:after="160" w:line="259" w:lineRule="auto"/>
              <w:rPr>
                <w:rFonts w:cs="Arial"/>
              </w:rPr>
            </w:pPr>
            <w:r>
              <w:rPr>
                <w:rFonts w:cs="Arial"/>
              </w:rPr>
              <w:t>Dec 2021</w:t>
            </w:r>
          </w:p>
        </w:tc>
        <w:tc>
          <w:tcPr>
            <w:tcW w:w="1276" w:type="dxa"/>
          </w:tcPr>
          <w:p w14:paraId="5F6B3DCE" w14:textId="7333BF1A" w:rsidR="001B57F3" w:rsidRDefault="001C6751" w:rsidP="007E50DE">
            <w:pPr>
              <w:spacing w:after="160" w:line="259" w:lineRule="auto"/>
              <w:rPr>
                <w:rFonts w:cs="Arial"/>
              </w:rPr>
            </w:pPr>
            <w:r>
              <w:rPr>
                <w:rFonts w:cs="Arial"/>
              </w:rPr>
              <w:t>Dec 2021</w:t>
            </w:r>
          </w:p>
        </w:tc>
        <w:tc>
          <w:tcPr>
            <w:tcW w:w="1417" w:type="dxa"/>
          </w:tcPr>
          <w:p w14:paraId="302EFF93" w14:textId="062FD070" w:rsidR="001B57F3" w:rsidRDefault="001C6751" w:rsidP="007E50DE">
            <w:pPr>
              <w:spacing w:after="160" w:line="259" w:lineRule="auto"/>
              <w:rPr>
                <w:rFonts w:cs="Arial"/>
              </w:rPr>
            </w:pPr>
            <w:r>
              <w:rPr>
                <w:rFonts w:cs="Arial"/>
              </w:rPr>
              <w:t>HOP</w:t>
            </w:r>
          </w:p>
        </w:tc>
      </w:tr>
      <w:tr w:rsidR="001B57F3" w14:paraId="4E5E77C9" w14:textId="77777777" w:rsidTr="00AE7FBA">
        <w:tc>
          <w:tcPr>
            <w:tcW w:w="846" w:type="dxa"/>
          </w:tcPr>
          <w:p w14:paraId="68128114" w14:textId="3713DFD0" w:rsidR="001B57F3" w:rsidRDefault="007E3ACB" w:rsidP="007E50DE">
            <w:pPr>
              <w:spacing w:after="160" w:line="259" w:lineRule="auto"/>
              <w:rPr>
                <w:rFonts w:cs="Arial"/>
              </w:rPr>
            </w:pPr>
            <w:r>
              <w:rPr>
                <w:rFonts w:cs="Arial"/>
              </w:rPr>
              <w:t>2</w:t>
            </w:r>
          </w:p>
        </w:tc>
        <w:tc>
          <w:tcPr>
            <w:tcW w:w="3685" w:type="dxa"/>
          </w:tcPr>
          <w:p w14:paraId="28EECCE2" w14:textId="7096EC9C" w:rsidR="001B57F3" w:rsidRDefault="005E36A7" w:rsidP="007E50DE">
            <w:pPr>
              <w:spacing w:after="160" w:line="259" w:lineRule="auto"/>
              <w:rPr>
                <w:rFonts w:cs="Arial"/>
              </w:rPr>
            </w:pPr>
            <w:r>
              <w:rPr>
                <w:rFonts w:cs="Arial"/>
              </w:rPr>
              <w:t xml:space="preserve">Review Procurement Programme at </w:t>
            </w:r>
            <w:r w:rsidR="009135B5">
              <w:rPr>
                <w:rFonts w:cs="Arial"/>
              </w:rPr>
              <w:t xml:space="preserve">directorate </w:t>
            </w:r>
            <w:r>
              <w:rPr>
                <w:rFonts w:cs="Arial"/>
              </w:rPr>
              <w:t>procuremen</w:t>
            </w:r>
            <w:r w:rsidR="009135B5">
              <w:rPr>
                <w:rFonts w:cs="Arial"/>
              </w:rPr>
              <w:t xml:space="preserve">t boards to ensure identified services </w:t>
            </w:r>
            <w:r w:rsidR="00AC7747">
              <w:rPr>
                <w:rFonts w:cs="Arial"/>
              </w:rPr>
              <w:t>from the implementation plan are retendered on the RLW</w:t>
            </w:r>
          </w:p>
        </w:tc>
        <w:tc>
          <w:tcPr>
            <w:tcW w:w="1276" w:type="dxa"/>
          </w:tcPr>
          <w:p w14:paraId="6C36D42A" w14:textId="121F2729" w:rsidR="001B57F3" w:rsidRDefault="00AC7747" w:rsidP="007E50DE">
            <w:pPr>
              <w:spacing w:after="160" w:line="259" w:lineRule="auto"/>
              <w:rPr>
                <w:rFonts w:cs="Arial"/>
              </w:rPr>
            </w:pPr>
            <w:r>
              <w:rPr>
                <w:rFonts w:cs="Arial"/>
              </w:rPr>
              <w:t>Jan 2022</w:t>
            </w:r>
          </w:p>
        </w:tc>
        <w:tc>
          <w:tcPr>
            <w:tcW w:w="1276" w:type="dxa"/>
          </w:tcPr>
          <w:p w14:paraId="0E7635D7" w14:textId="5B162407" w:rsidR="001B57F3" w:rsidRDefault="00AC7747" w:rsidP="007E50DE">
            <w:pPr>
              <w:spacing w:after="160" w:line="259" w:lineRule="auto"/>
              <w:rPr>
                <w:rFonts w:cs="Arial"/>
              </w:rPr>
            </w:pPr>
            <w:r>
              <w:rPr>
                <w:rFonts w:cs="Arial"/>
              </w:rPr>
              <w:t>Mar 2022</w:t>
            </w:r>
          </w:p>
        </w:tc>
        <w:tc>
          <w:tcPr>
            <w:tcW w:w="1417" w:type="dxa"/>
          </w:tcPr>
          <w:p w14:paraId="67FC1FD7" w14:textId="0650E44F" w:rsidR="001B57F3" w:rsidRDefault="0074454D" w:rsidP="007E50DE">
            <w:pPr>
              <w:spacing w:after="160" w:line="259" w:lineRule="auto"/>
              <w:rPr>
                <w:rFonts w:cs="Arial"/>
              </w:rPr>
            </w:pPr>
            <w:r>
              <w:rPr>
                <w:rFonts w:cs="Arial"/>
              </w:rPr>
              <w:t>HOP and Chairs of DPBs</w:t>
            </w:r>
          </w:p>
        </w:tc>
      </w:tr>
      <w:tr w:rsidR="001B57F3" w14:paraId="70BF6597" w14:textId="77777777" w:rsidTr="00AE7FBA">
        <w:tc>
          <w:tcPr>
            <w:tcW w:w="846" w:type="dxa"/>
          </w:tcPr>
          <w:p w14:paraId="19263D74" w14:textId="1C2A42A7" w:rsidR="001B57F3" w:rsidRDefault="007E3ACB" w:rsidP="007E50DE">
            <w:pPr>
              <w:spacing w:after="160" w:line="259" w:lineRule="auto"/>
              <w:rPr>
                <w:rFonts w:cs="Arial"/>
              </w:rPr>
            </w:pPr>
            <w:r>
              <w:rPr>
                <w:rFonts w:cs="Arial"/>
              </w:rPr>
              <w:t>3</w:t>
            </w:r>
          </w:p>
        </w:tc>
        <w:tc>
          <w:tcPr>
            <w:tcW w:w="3685" w:type="dxa"/>
          </w:tcPr>
          <w:p w14:paraId="6B10400A" w14:textId="34DE61E0" w:rsidR="001B57F3" w:rsidRDefault="00917C39" w:rsidP="007E50DE">
            <w:pPr>
              <w:spacing w:after="160" w:line="259" w:lineRule="auto"/>
              <w:rPr>
                <w:rFonts w:cs="Arial"/>
              </w:rPr>
            </w:pPr>
            <w:r>
              <w:rPr>
                <w:rFonts w:cs="Arial"/>
              </w:rPr>
              <w:t xml:space="preserve">Review Terms and Conditions of Contract to ensure clauses </w:t>
            </w:r>
            <w:r w:rsidR="00592792">
              <w:rPr>
                <w:rFonts w:cs="Arial"/>
              </w:rPr>
              <w:t>are robust and clear on paying staff the RLW</w:t>
            </w:r>
          </w:p>
        </w:tc>
        <w:tc>
          <w:tcPr>
            <w:tcW w:w="1276" w:type="dxa"/>
          </w:tcPr>
          <w:p w14:paraId="6975A29C" w14:textId="54A364B6" w:rsidR="001B57F3" w:rsidRDefault="00592792" w:rsidP="007E50DE">
            <w:pPr>
              <w:spacing w:after="160" w:line="259" w:lineRule="auto"/>
              <w:rPr>
                <w:rFonts w:cs="Arial"/>
              </w:rPr>
            </w:pPr>
            <w:r>
              <w:rPr>
                <w:rFonts w:cs="Arial"/>
              </w:rPr>
              <w:t>Jan 2022</w:t>
            </w:r>
          </w:p>
        </w:tc>
        <w:tc>
          <w:tcPr>
            <w:tcW w:w="1276" w:type="dxa"/>
          </w:tcPr>
          <w:p w14:paraId="60EC38ED" w14:textId="257145D5" w:rsidR="001B57F3" w:rsidRDefault="00592792" w:rsidP="007E50DE">
            <w:pPr>
              <w:spacing w:after="160" w:line="259" w:lineRule="auto"/>
              <w:rPr>
                <w:rFonts w:cs="Arial"/>
              </w:rPr>
            </w:pPr>
            <w:r>
              <w:rPr>
                <w:rFonts w:cs="Arial"/>
              </w:rPr>
              <w:t>Mar 2022</w:t>
            </w:r>
          </w:p>
        </w:tc>
        <w:tc>
          <w:tcPr>
            <w:tcW w:w="1417" w:type="dxa"/>
          </w:tcPr>
          <w:p w14:paraId="6150B868" w14:textId="085FFBEA" w:rsidR="001B57F3" w:rsidRDefault="00592792" w:rsidP="007E50DE">
            <w:pPr>
              <w:spacing w:after="160" w:line="259" w:lineRule="auto"/>
              <w:rPr>
                <w:rFonts w:cs="Arial"/>
              </w:rPr>
            </w:pPr>
            <w:r>
              <w:rPr>
                <w:rFonts w:cs="Arial"/>
              </w:rPr>
              <w:t>HOP and HB Law</w:t>
            </w:r>
          </w:p>
        </w:tc>
      </w:tr>
      <w:tr w:rsidR="001B57F3" w14:paraId="518DDD63" w14:textId="77777777" w:rsidTr="00AE7FBA">
        <w:tc>
          <w:tcPr>
            <w:tcW w:w="846" w:type="dxa"/>
          </w:tcPr>
          <w:p w14:paraId="79A93CB3" w14:textId="4AAE3046" w:rsidR="001B57F3" w:rsidRDefault="007E3ACB" w:rsidP="007E50DE">
            <w:pPr>
              <w:spacing w:after="160" w:line="259" w:lineRule="auto"/>
              <w:rPr>
                <w:rFonts w:cs="Arial"/>
              </w:rPr>
            </w:pPr>
            <w:r>
              <w:rPr>
                <w:rFonts w:cs="Arial"/>
              </w:rPr>
              <w:t>4</w:t>
            </w:r>
          </w:p>
        </w:tc>
        <w:tc>
          <w:tcPr>
            <w:tcW w:w="3685" w:type="dxa"/>
          </w:tcPr>
          <w:p w14:paraId="6C8AA020" w14:textId="0BD89373" w:rsidR="001B57F3" w:rsidRDefault="001A08C0" w:rsidP="007E50DE">
            <w:pPr>
              <w:spacing w:after="160" w:line="259" w:lineRule="auto"/>
              <w:rPr>
                <w:rFonts w:cs="Arial"/>
              </w:rPr>
            </w:pPr>
            <w:r>
              <w:rPr>
                <w:rFonts w:cs="Arial"/>
              </w:rPr>
              <w:t>Review all procurement tendering documents</w:t>
            </w:r>
            <w:r w:rsidR="00F74454">
              <w:rPr>
                <w:rFonts w:cs="Arial"/>
              </w:rPr>
              <w:t xml:space="preserve"> including price submission templates </w:t>
            </w:r>
            <w:r>
              <w:rPr>
                <w:rFonts w:cs="Arial"/>
              </w:rPr>
              <w:t>to ensure they reflect the paym</w:t>
            </w:r>
            <w:r w:rsidR="00F74454">
              <w:rPr>
                <w:rFonts w:cs="Arial"/>
              </w:rPr>
              <w:t>ent of the RLW</w:t>
            </w:r>
          </w:p>
        </w:tc>
        <w:tc>
          <w:tcPr>
            <w:tcW w:w="1276" w:type="dxa"/>
          </w:tcPr>
          <w:p w14:paraId="1D2DEAA2" w14:textId="5415F548" w:rsidR="001B57F3" w:rsidRDefault="00F74454" w:rsidP="007E50DE">
            <w:pPr>
              <w:spacing w:after="160" w:line="259" w:lineRule="auto"/>
              <w:rPr>
                <w:rFonts w:cs="Arial"/>
              </w:rPr>
            </w:pPr>
            <w:r>
              <w:rPr>
                <w:rFonts w:cs="Arial"/>
              </w:rPr>
              <w:t>Jan 2022</w:t>
            </w:r>
          </w:p>
        </w:tc>
        <w:tc>
          <w:tcPr>
            <w:tcW w:w="1276" w:type="dxa"/>
          </w:tcPr>
          <w:p w14:paraId="058EF7D6" w14:textId="6EBF9922" w:rsidR="001B57F3" w:rsidRDefault="00F74454" w:rsidP="007E50DE">
            <w:pPr>
              <w:spacing w:after="160" w:line="259" w:lineRule="auto"/>
              <w:rPr>
                <w:rFonts w:cs="Arial"/>
              </w:rPr>
            </w:pPr>
            <w:r>
              <w:rPr>
                <w:rFonts w:cs="Arial"/>
              </w:rPr>
              <w:t>Mar 2022</w:t>
            </w:r>
          </w:p>
        </w:tc>
        <w:tc>
          <w:tcPr>
            <w:tcW w:w="1417" w:type="dxa"/>
          </w:tcPr>
          <w:p w14:paraId="58C67BF2" w14:textId="5EC489D2" w:rsidR="001B57F3" w:rsidRDefault="00F74454" w:rsidP="007E50DE">
            <w:pPr>
              <w:spacing w:after="160" w:line="259" w:lineRule="auto"/>
              <w:rPr>
                <w:rFonts w:cs="Arial"/>
              </w:rPr>
            </w:pPr>
            <w:r>
              <w:rPr>
                <w:rFonts w:cs="Arial"/>
              </w:rPr>
              <w:t>HOP</w:t>
            </w:r>
            <w:r w:rsidR="00575AEA">
              <w:rPr>
                <w:rFonts w:cs="Arial"/>
              </w:rPr>
              <w:t xml:space="preserve"> and FBPs</w:t>
            </w:r>
          </w:p>
        </w:tc>
      </w:tr>
      <w:tr w:rsidR="001B57F3" w14:paraId="414C7962" w14:textId="77777777" w:rsidTr="00AE7FBA">
        <w:tc>
          <w:tcPr>
            <w:tcW w:w="846" w:type="dxa"/>
          </w:tcPr>
          <w:p w14:paraId="4A72FD13" w14:textId="177EDBE0" w:rsidR="001B57F3" w:rsidRDefault="007E3ACB" w:rsidP="007E50DE">
            <w:pPr>
              <w:spacing w:after="160" w:line="259" w:lineRule="auto"/>
              <w:rPr>
                <w:rFonts w:cs="Arial"/>
              </w:rPr>
            </w:pPr>
            <w:r>
              <w:rPr>
                <w:rFonts w:cs="Arial"/>
              </w:rPr>
              <w:t>5</w:t>
            </w:r>
          </w:p>
        </w:tc>
        <w:tc>
          <w:tcPr>
            <w:tcW w:w="3685" w:type="dxa"/>
          </w:tcPr>
          <w:p w14:paraId="3863A123" w14:textId="6929E60B" w:rsidR="001B57F3" w:rsidRDefault="00575AEA" w:rsidP="007E50DE">
            <w:pPr>
              <w:spacing w:after="160" w:line="259" w:lineRule="auto"/>
              <w:rPr>
                <w:rFonts w:cs="Arial"/>
              </w:rPr>
            </w:pPr>
            <w:r>
              <w:rPr>
                <w:rFonts w:cs="Arial"/>
              </w:rPr>
              <w:t xml:space="preserve">Review of commissioning strategy for adult social care </w:t>
            </w:r>
            <w:r w:rsidR="00D26F02">
              <w:rPr>
                <w:rFonts w:cs="Arial"/>
              </w:rPr>
              <w:t>residential and nursing services</w:t>
            </w:r>
          </w:p>
        </w:tc>
        <w:tc>
          <w:tcPr>
            <w:tcW w:w="1276" w:type="dxa"/>
          </w:tcPr>
          <w:p w14:paraId="61299062" w14:textId="47A9E159" w:rsidR="001B57F3" w:rsidRDefault="00D26F02" w:rsidP="007E50DE">
            <w:pPr>
              <w:spacing w:after="160" w:line="259" w:lineRule="auto"/>
              <w:rPr>
                <w:rFonts w:cs="Arial"/>
              </w:rPr>
            </w:pPr>
            <w:r>
              <w:rPr>
                <w:rFonts w:cs="Arial"/>
              </w:rPr>
              <w:t>Dec 2021</w:t>
            </w:r>
          </w:p>
        </w:tc>
        <w:tc>
          <w:tcPr>
            <w:tcW w:w="1276" w:type="dxa"/>
          </w:tcPr>
          <w:p w14:paraId="1294E32F" w14:textId="7F4CCB16" w:rsidR="001B57F3" w:rsidRDefault="001317ED" w:rsidP="007E50DE">
            <w:pPr>
              <w:spacing w:after="160" w:line="259" w:lineRule="auto"/>
              <w:rPr>
                <w:rFonts w:cs="Arial"/>
              </w:rPr>
            </w:pPr>
            <w:r>
              <w:rPr>
                <w:rFonts w:cs="Arial"/>
              </w:rPr>
              <w:t>Apr 2023</w:t>
            </w:r>
          </w:p>
        </w:tc>
        <w:tc>
          <w:tcPr>
            <w:tcW w:w="1417" w:type="dxa"/>
          </w:tcPr>
          <w:p w14:paraId="74DC44E8" w14:textId="36EFB713" w:rsidR="001B57F3" w:rsidRDefault="001317ED" w:rsidP="007E50DE">
            <w:pPr>
              <w:spacing w:after="160" w:line="259" w:lineRule="auto"/>
              <w:rPr>
                <w:rFonts w:cs="Arial"/>
              </w:rPr>
            </w:pPr>
            <w:r>
              <w:rPr>
                <w:rFonts w:cs="Arial"/>
              </w:rPr>
              <w:t>People Services</w:t>
            </w:r>
          </w:p>
        </w:tc>
      </w:tr>
      <w:tr w:rsidR="001B57F3" w14:paraId="23FAD131" w14:textId="77777777" w:rsidTr="00AE7FBA">
        <w:tc>
          <w:tcPr>
            <w:tcW w:w="846" w:type="dxa"/>
          </w:tcPr>
          <w:p w14:paraId="2DD97D3E" w14:textId="78C5F02C" w:rsidR="001B57F3" w:rsidRDefault="007E3ACB" w:rsidP="007E50DE">
            <w:pPr>
              <w:spacing w:after="160" w:line="259" w:lineRule="auto"/>
              <w:rPr>
                <w:rFonts w:cs="Arial"/>
              </w:rPr>
            </w:pPr>
            <w:r>
              <w:rPr>
                <w:rFonts w:cs="Arial"/>
              </w:rPr>
              <w:t>6</w:t>
            </w:r>
          </w:p>
        </w:tc>
        <w:tc>
          <w:tcPr>
            <w:tcW w:w="3685" w:type="dxa"/>
          </w:tcPr>
          <w:p w14:paraId="0BA688CC" w14:textId="0756D9D6" w:rsidR="001B57F3" w:rsidRDefault="00D3338F" w:rsidP="007E50DE">
            <w:pPr>
              <w:spacing w:after="160" w:line="259" w:lineRule="auto"/>
              <w:rPr>
                <w:rFonts w:cs="Arial"/>
              </w:rPr>
            </w:pPr>
            <w:r>
              <w:rPr>
                <w:rFonts w:cs="Arial"/>
              </w:rPr>
              <w:t xml:space="preserve">Monitoring of contracts to ensure </w:t>
            </w:r>
            <w:r w:rsidR="00EE00FB">
              <w:rPr>
                <w:rFonts w:cs="Arial"/>
              </w:rPr>
              <w:t xml:space="preserve">the Council </w:t>
            </w:r>
            <w:r>
              <w:rPr>
                <w:rFonts w:cs="Arial"/>
              </w:rPr>
              <w:t xml:space="preserve">continue to </w:t>
            </w:r>
            <w:r w:rsidR="006D00E3">
              <w:rPr>
                <w:rFonts w:cs="Arial"/>
              </w:rPr>
              <w:t>pay the RLW consistent with the annual uplift</w:t>
            </w:r>
          </w:p>
        </w:tc>
        <w:tc>
          <w:tcPr>
            <w:tcW w:w="1276" w:type="dxa"/>
          </w:tcPr>
          <w:p w14:paraId="0EDAA259" w14:textId="00C4BED8" w:rsidR="001B57F3" w:rsidRDefault="00BA4024" w:rsidP="007E50DE">
            <w:pPr>
              <w:spacing w:after="160" w:line="259" w:lineRule="auto"/>
              <w:rPr>
                <w:rFonts w:cs="Arial"/>
              </w:rPr>
            </w:pPr>
            <w:r>
              <w:rPr>
                <w:rFonts w:cs="Arial"/>
              </w:rPr>
              <w:t>On going</w:t>
            </w:r>
          </w:p>
        </w:tc>
        <w:tc>
          <w:tcPr>
            <w:tcW w:w="1276" w:type="dxa"/>
          </w:tcPr>
          <w:p w14:paraId="7492F88F" w14:textId="091EB657" w:rsidR="001B57F3" w:rsidRDefault="00BA4024" w:rsidP="007E50DE">
            <w:pPr>
              <w:spacing w:after="160" w:line="259" w:lineRule="auto"/>
              <w:rPr>
                <w:rFonts w:cs="Arial"/>
              </w:rPr>
            </w:pPr>
            <w:r>
              <w:rPr>
                <w:rFonts w:cs="Arial"/>
              </w:rPr>
              <w:t>On going</w:t>
            </w:r>
          </w:p>
        </w:tc>
        <w:tc>
          <w:tcPr>
            <w:tcW w:w="1417" w:type="dxa"/>
          </w:tcPr>
          <w:p w14:paraId="45568A0C" w14:textId="65C91569" w:rsidR="001B57F3" w:rsidRDefault="00BA4024" w:rsidP="007E50DE">
            <w:pPr>
              <w:spacing w:after="160" w:line="259" w:lineRule="auto"/>
              <w:rPr>
                <w:rFonts w:cs="Arial"/>
              </w:rPr>
            </w:pPr>
            <w:r>
              <w:rPr>
                <w:rFonts w:cs="Arial"/>
              </w:rPr>
              <w:t>Contract Managers and FBPs</w:t>
            </w:r>
          </w:p>
        </w:tc>
      </w:tr>
    </w:tbl>
    <w:p w14:paraId="652CD04B" w14:textId="1B1B307D" w:rsidR="006F2CF4" w:rsidRPr="00950D5B" w:rsidRDefault="00A230B4" w:rsidP="006B2838">
      <w:pPr>
        <w:pStyle w:val="Heading3"/>
        <w:spacing w:before="480" w:after="240"/>
        <w:ind w:left="0" w:firstLine="0"/>
        <w:rPr>
          <w:sz w:val="24"/>
          <w:szCs w:val="24"/>
        </w:rPr>
      </w:pPr>
      <w:r w:rsidRPr="00950D5B">
        <w:rPr>
          <w:sz w:val="24"/>
          <w:szCs w:val="24"/>
        </w:rPr>
        <w:t>L</w:t>
      </w:r>
      <w:r w:rsidR="00333FAA" w:rsidRPr="00950D5B">
        <w:rPr>
          <w:sz w:val="24"/>
          <w:szCs w:val="24"/>
        </w:rPr>
        <w:t>egal Implications</w:t>
      </w:r>
    </w:p>
    <w:p w14:paraId="06F141F1" w14:textId="43359EA0" w:rsidR="00494E26" w:rsidRDefault="0073194E" w:rsidP="00CB253C">
      <w:r>
        <w:t xml:space="preserve">The plan to </w:t>
      </w:r>
      <w:r w:rsidR="001033F9" w:rsidRPr="003F23CB">
        <w:t>encourage</w:t>
      </w:r>
      <w:r w:rsidR="001033F9">
        <w:t xml:space="preserve"> our suppliers to pay their employees</w:t>
      </w:r>
      <w:r w:rsidR="00BF6AD3">
        <w:t xml:space="preserve"> the </w:t>
      </w:r>
      <w:r w:rsidR="00EA7DDD">
        <w:t>RLW</w:t>
      </w:r>
      <w:r w:rsidR="00BF6AD3">
        <w:t xml:space="preserve"> </w:t>
      </w:r>
      <w:r w:rsidR="00EA5F86">
        <w:t>n</w:t>
      </w:r>
      <w:r>
        <w:t>eeds to take account of the public procurement legal landscape</w:t>
      </w:r>
      <w:r w:rsidR="00EE5537">
        <w:t>.</w:t>
      </w:r>
    </w:p>
    <w:p w14:paraId="5B5235C2" w14:textId="7BE54D75" w:rsidR="00EE5537" w:rsidRDefault="00EE5537" w:rsidP="00CB253C"/>
    <w:p w14:paraId="77B6DD5C" w14:textId="6F4CECC4" w:rsidR="00EE5537" w:rsidRDefault="008F107F" w:rsidP="00EE5537">
      <w:pPr>
        <w:shd w:val="clear" w:color="auto" w:fill="FFFFFF"/>
        <w:textAlignment w:val="baseline"/>
        <w:rPr>
          <w:rFonts w:cs="Arial"/>
          <w:color w:val="3D3D3D"/>
          <w:sz w:val="22"/>
          <w:lang w:eastAsia="en-GB"/>
        </w:rPr>
      </w:pPr>
      <w:r>
        <w:rPr>
          <w:rFonts w:cs="Arial"/>
          <w:color w:val="3D3D3D"/>
          <w:lang w:eastAsia="en-GB"/>
        </w:rPr>
        <w:t xml:space="preserve">The council is a contracting authority under public procurement rules. </w:t>
      </w:r>
      <w:r w:rsidR="00EE5537">
        <w:rPr>
          <w:rFonts w:cs="Arial"/>
          <w:color w:val="3D3D3D"/>
          <w:lang w:eastAsia="en-GB"/>
        </w:rPr>
        <w:t xml:space="preserve">Government policy is that contracting authorities must ensure that suppliers comply with relevant social, environmental and labour laws in delivering public contracts, and the public procurement rules reflect this, i.e. </w:t>
      </w:r>
      <w:r w:rsidR="00F37378">
        <w:rPr>
          <w:rFonts w:cs="Arial"/>
          <w:color w:val="3D3D3D"/>
          <w:lang w:eastAsia="en-GB"/>
        </w:rPr>
        <w:t xml:space="preserve">the Council </w:t>
      </w:r>
      <w:r w:rsidR="00EE5537">
        <w:rPr>
          <w:rFonts w:cs="Arial"/>
          <w:color w:val="3D3D3D"/>
          <w:lang w:eastAsia="en-GB"/>
        </w:rPr>
        <w:t>can require suppliers to comply with the law.</w:t>
      </w:r>
    </w:p>
    <w:p w14:paraId="3D5707E9" w14:textId="77777777" w:rsidR="00EE5537" w:rsidRDefault="00EE5537" w:rsidP="00EE5537">
      <w:pPr>
        <w:shd w:val="clear" w:color="auto" w:fill="FFFFFF"/>
        <w:textAlignment w:val="baseline"/>
        <w:rPr>
          <w:rFonts w:cs="Arial"/>
          <w:color w:val="3D3D3D"/>
          <w:lang w:eastAsia="en-GB"/>
        </w:rPr>
      </w:pPr>
    </w:p>
    <w:p w14:paraId="4ED7484A" w14:textId="10E25DF1" w:rsidR="00EE5537" w:rsidRDefault="00EE5537" w:rsidP="00EE5537">
      <w:pPr>
        <w:shd w:val="clear" w:color="auto" w:fill="FFFFFF"/>
        <w:textAlignment w:val="baseline"/>
        <w:rPr>
          <w:rFonts w:cs="Arial"/>
          <w:color w:val="3D3D3D"/>
          <w:lang w:eastAsia="en-GB"/>
        </w:rPr>
      </w:pPr>
      <w:r>
        <w:rPr>
          <w:rFonts w:cs="Arial"/>
          <w:color w:val="3D3D3D"/>
          <w:lang w:eastAsia="en-GB"/>
        </w:rPr>
        <w:lastRenderedPageBreak/>
        <w:t>Regulation 57(1) to (4) of the P</w:t>
      </w:r>
      <w:r w:rsidR="007A5618">
        <w:rPr>
          <w:rFonts w:cs="Arial"/>
          <w:color w:val="3D3D3D"/>
          <w:lang w:eastAsia="en-GB"/>
        </w:rPr>
        <w:t xml:space="preserve">ublic </w:t>
      </w:r>
      <w:r>
        <w:rPr>
          <w:rFonts w:cs="Arial"/>
          <w:color w:val="3D3D3D"/>
          <w:lang w:eastAsia="en-GB"/>
        </w:rPr>
        <w:t>C</w:t>
      </w:r>
      <w:r w:rsidR="007A5618">
        <w:rPr>
          <w:rFonts w:cs="Arial"/>
          <w:color w:val="3D3D3D"/>
          <w:lang w:eastAsia="en-GB"/>
        </w:rPr>
        <w:t xml:space="preserve">ontracts </w:t>
      </w:r>
      <w:r>
        <w:rPr>
          <w:rFonts w:cs="Arial"/>
          <w:color w:val="3D3D3D"/>
          <w:lang w:eastAsia="en-GB"/>
        </w:rPr>
        <w:t>R</w:t>
      </w:r>
      <w:r w:rsidR="007A5618">
        <w:rPr>
          <w:rFonts w:cs="Arial"/>
          <w:color w:val="3D3D3D"/>
          <w:lang w:eastAsia="en-GB"/>
        </w:rPr>
        <w:t>egulations</w:t>
      </w:r>
      <w:r>
        <w:rPr>
          <w:rFonts w:cs="Arial"/>
          <w:color w:val="3D3D3D"/>
          <w:lang w:eastAsia="en-GB"/>
        </w:rPr>
        <w:t xml:space="preserve"> 2015 </w:t>
      </w:r>
      <w:r w:rsidR="007A5618">
        <w:rPr>
          <w:rFonts w:cs="Arial"/>
          <w:color w:val="3D3D3D"/>
          <w:lang w:eastAsia="en-GB"/>
        </w:rPr>
        <w:t xml:space="preserve">(PCR) </w:t>
      </w:r>
      <w:r>
        <w:rPr>
          <w:rFonts w:cs="Arial"/>
          <w:color w:val="3D3D3D"/>
          <w:lang w:eastAsia="en-GB"/>
        </w:rPr>
        <w:t xml:space="preserve">requires the exclusion of suppliers which have </w:t>
      </w:r>
      <w:r w:rsidR="008F107F">
        <w:rPr>
          <w:rFonts w:cs="Arial"/>
          <w:color w:val="3D3D3D"/>
          <w:lang w:eastAsia="en-GB"/>
        </w:rPr>
        <w:t xml:space="preserve">listed </w:t>
      </w:r>
      <w:r>
        <w:rPr>
          <w:rFonts w:cs="Arial"/>
          <w:color w:val="3D3D3D"/>
          <w:lang w:eastAsia="en-GB"/>
        </w:rPr>
        <w:t>convictions. Discretionary grounds for exclusion include violations of environmental, social and labour laws. The mandatory standard Selection Questionnaire that contracting authorities must use sets out these mandatory and discretionary exclusion grounds and suppliers must certify that they have not breached any of the exclusion grounds.</w:t>
      </w:r>
    </w:p>
    <w:p w14:paraId="33FD2623" w14:textId="77777777" w:rsidR="00EE5537" w:rsidRDefault="00EE5537" w:rsidP="00EE5537">
      <w:pPr>
        <w:shd w:val="clear" w:color="auto" w:fill="FFFFFF"/>
        <w:textAlignment w:val="baseline"/>
        <w:rPr>
          <w:rFonts w:cs="Arial"/>
          <w:color w:val="3D3D3D"/>
          <w:lang w:eastAsia="en-GB"/>
        </w:rPr>
      </w:pPr>
    </w:p>
    <w:p w14:paraId="11ACCBBC" w14:textId="34FA0257" w:rsidR="00EE5537" w:rsidRDefault="00EE5537" w:rsidP="00EE5537">
      <w:pPr>
        <w:rPr>
          <w:rFonts w:cs="Arial"/>
        </w:rPr>
      </w:pPr>
      <w:r>
        <w:rPr>
          <w:rFonts w:cs="Arial"/>
        </w:rPr>
        <w:t xml:space="preserve">The rules in regulation 58 of the PCR 2015 limit selection criteria to economic and financial standing and technical and professional ability. </w:t>
      </w:r>
      <w:r w:rsidR="00DF22F1">
        <w:rPr>
          <w:rFonts w:cs="Arial"/>
        </w:rPr>
        <w:t xml:space="preserve">The Council </w:t>
      </w:r>
      <w:r>
        <w:rPr>
          <w:rFonts w:cs="Arial"/>
        </w:rPr>
        <w:t>can only exclude suppliers who lack the technical or professional ability to perform the contract</w:t>
      </w:r>
      <w:r w:rsidR="002375F8">
        <w:rPr>
          <w:rFonts w:cs="Arial"/>
        </w:rPr>
        <w:t>.</w:t>
      </w:r>
    </w:p>
    <w:p w14:paraId="2D10958F" w14:textId="77777777" w:rsidR="00EE5537" w:rsidRDefault="00EE5537" w:rsidP="00EE5537">
      <w:pPr>
        <w:rPr>
          <w:rFonts w:cs="Arial"/>
        </w:rPr>
      </w:pPr>
    </w:p>
    <w:p w14:paraId="70465382" w14:textId="15ABF2A7" w:rsidR="00EE5537" w:rsidRDefault="00950D5B" w:rsidP="00EE5537">
      <w:pPr>
        <w:rPr>
          <w:rFonts w:cs="Arial"/>
        </w:rPr>
      </w:pPr>
      <w:r>
        <w:rPr>
          <w:rFonts w:cs="Arial"/>
        </w:rPr>
        <w:t>Also,</w:t>
      </w:r>
      <w:r w:rsidR="00EE5537">
        <w:rPr>
          <w:rFonts w:cs="Arial"/>
        </w:rPr>
        <w:t xml:space="preserve"> the Local Government Act 1988 </w:t>
      </w:r>
      <w:r w:rsidR="00B974D0">
        <w:rPr>
          <w:rFonts w:cs="Arial"/>
        </w:rPr>
        <w:t xml:space="preserve">(LGA 1998) </w:t>
      </w:r>
      <w:r w:rsidR="00EE5537">
        <w:rPr>
          <w:rFonts w:cs="Arial"/>
        </w:rPr>
        <w:t xml:space="preserve">imposes restrictions on taking account of non-commercial considerations in public procurement decisions. </w:t>
      </w:r>
    </w:p>
    <w:p w14:paraId="54FE83C8" w14:textId="77777777" w:rsidR="00EE5537" w:rsidRDefault="00EE5537" w:rsidP="00EE5537">
      <w:pPr>
        <w:rPr>
          <w:rFonts w:cs="Arial"/>
        </w:rPr>
      </w:pPr>
    </w:p>
    <w:p w14:paraId="43127CAD" w14:textId="4D23B7A2" w:rsidR="00EE5537" w:rsidRDefault="00EE5537" w:rsidP="00EE5537">
      <w:pPr>
        <w:rPr>
          <w:rFonts w:cs="Arial"/>
        </w:rPr>
      </w:pPr>
      <w:r>
        <w:rPr>
          <w:rFonts w:cs="Arial"/>
        </w:rPr>
        <w:t xml:space="preserve">Non-commercial matters include ‘Workforce matters’ (defined as </w:t>
      </w:r>
      <w:r w:rsidR="002375F8">
        <w:rPr>
          <w:rFonts w:cs="Arial"/>
        </w:rPr>
        <w:t xml:space="preserve">including </w:t>
      </w:r>
      <w:r>
        <w:rPr>
          <w:rFonts w:cs="Arial"/>
        </w:rPr>
        <w:t>the terms and conditions of employment or the composition of a contractors' workforce, arrangements for promotion, transfer or training of or other opportunities for their workforces).</w:t>
      </w:r>
    </w:p>
    <w:p w14:paraId="3745DDB4" w14:textId="77777777" w:rsidR="00EE5537" w:rsidRDefault="00EE5537" w:rsidP="00EE5537">
      <w:pPr>
        <w:rPr>
          <w:rFonts w:cs="Arial"/>
        </w:rPr>
      </w:pPr>
    </w:p>
    <w:p w14:paraId="0E57089A" w14:textId="1C0C4B67" w:rsidR="00EE5537" w:rsidRDefault="00EE5537" w:rsidP="00EE5537">
      <w:pPr>
        <w:rPr>
          <w:rFonts w:cs="Arial"/>
        </w:rPr>
      </w:pPr>
      <w:r>
        <w:rPr>
          <w:rFonts w:cs="Arial"/>
        </w:rPr>
        <w:t xml:space="preserve">The LGA 1988 also provides that any matter </w:t>
      </w:r>
      <w:r w:rsidR="0027730C">
        <w:rPr>
          <w:rFonts w:cs="Arial"/>
        </w:rPr>
        <w:t xml:space="preserve">which </w:t>
      </w:r>
      <w:r>
        <w:rPr>
          <w:rFonts w:cs="Arial"/>
        </w:rPr>
        <w:t xml:space="preserve">would be a non-commercial matter if it referred to a provider, </w:t>
      </w:r>
      <w:r w:rsidR="0027730C">
        <w:rPr>
          <w:rFonts w:cs="Arial"/>
        </w:rPr>
        <w:t xml:space="preserve">will also be </w:t>
      </w:r>
      <w:r>
        <w:rPr>
          <w:rFonts w:cs="Arial"/>
        </w:rPr>
        <w:t>a non-commercial matter where referable to any a supplier, customer, subcontractor or associated body of the provider, a sub-contractor of an associated body or their respective suppliers or customers.</w:t>
      </w:r>
    </w:p>
    <w:p w14:paraId="3BF1B6FD" w14:textId="77777777" w:rsidR="00EE5537" w:rsidRDefault="00EE5537" w:rsidP="00EE5537">
      <w:pPr>
        <w:rPr>
          <w:rFonts w:cs="Arial"/>
        </w:rPr>
      </w:pPr>
    </w:p>
    <w:p w14:paraId="4305E6D8" w14:textId="518891A8" w:rsidR="00EE5537" w:rsidRDefault="0027730C" w:rsidP="00EE5537">
      <w:pPr>
        <w:rPr>
          <w:rFonts w:cs="Arial"/>
        </w:rPr>
      </w:pPr>
      <w:r>
        <w:rPr>
          <w:rFonts w:cs="Arial"/>
        </w:rPr>
        <w:t>T</w:t>
      </w:r>
      <w:r w:rsidR="00EE5537">
        <w:rPr>
          <w:rFonts w:cs="Arial"/>
        </w:rPr>
        <w:t xml:space="preserve">he courts have said, in the context of considering provisions such as pay and hours of work, that the </w:t>
      </w:r>
      <w:r>
        <w:rPr>
          <w:rFonts w:cs="Arial"/>
        </w:rPr>
        <w:t xml:space="preserve">LGA </w:t>
      </w:r>
      <w:r w:rsidR="00EE5537">
        <w:rPr>
          <w:rFonts w:cs="Arial"/>
        </w:rPr>
        <w:t xml:space="preserve">1988 restrictions are not intended to prohibit a local authority from including in its </w:t>
      </w:r>
      <w:r w:rsidR="00005538">
        <w:rPr>
          <w:rFonts w:cs="Arial"/>
        </w:rPr>
        <w:t>contract’s</w:t>
      </w:r>
      <w:r w:rsidR="00EE5537">
        <w:rPr>
          <w:rFonts w:cs="Arial"/>
        </w:rPr>
        <w:t xml:space="preserve"> provisions requiring the contractor to comply with the general law. And it does not prevent an authority from exercising procurement functions with reference to a non-commercial matter to comply with the general equality duty under section 149 of the Equality Act, or to comply with the Social Value Act, which imposes a general duty on contracting authorities to consider how they might use their procurement activity to improve the economic, social and environmental well-being of their area, or to comply with its duties of best value under the Local Government Act 1999.</w:t>
      </w:r>
    </w:p>
    <w:p w14:paraId="548E73CF" w14:textId="77777777" w:rsidR="00523DB1" w:rsidRDefault="00523DB1" w:rsidP="00EE5537">
      <w:pPr>
        <w:rPr>
          <w:rFonts w:cs="Arial"/>
        </w:rPr>
      </w:pPr>
    </w:p>
    <w:p w14:paraId="79F2E375" w14:textId="746151DD" w:rsidR="007F7103" w:rsidRDefault="007F7103" w:rsidP="00EE5537">
      <w:pPr>
        <w:rPr>
          <w:rFonts w:cs="Arial"/>
        </w:rPr>
      </w:pPr>
      <w:r w:rsidRPr="007F7103">
        <w:rPr>
          <w:rFonts w:cs="Arial"/>
        </w:rPr>
        <w:t xml:space="preserve">It is also possible, where relevant to the delivery of a contract, to take account of a bidder’s approach to fair work practices. Fair work practices can and would normally be expected to include fair and equal pay, including the living wage as part of a package of positive fair work practices to be delivered for the duration of the contract.  The Public Services (Social Value) Act 2011 requires that the </w:t>
      </w:r>
      <w:r w:rsidR="00132333">
        <w:rPr>
          <w:rFonts w:cs="Arial"/>
        </w:rPr>
        <w:t>c</w:t>
      </w:r>
      <w:r w:rsidRPr="007F7103">
        <w:rPr>
          <w:rFonts w:cs="Arial"/>
        </w:rPr>
        <w:t xml:space="preserve">ouncil, when it is commissioning public services, to think about how it can secure wider social, economic, and environmental benefits. So, to encourage and achieve compliance by potential service providers to pay the RLW to employees for new </w:t>
      </w:r>
      <w:r w:rsidR="00132333">
        <w:rPr>
          <w:rFonts w:cs="Arial"/>
        </w:rPr>
        <w:t xml:space="preserve">services </w:t>
      </w:r>
      <w:r w:rsidRPr="007F7103">
        <w:rPr>
          <w:rFonts w:cs="Arial"/>
        </w:rPr>
        <w:t>contracts, the council could allocate a relatively high percentage of the scoring allocation to social value.</w:t>
      </w:r>
    </w:p>
    <w:p w14:paraId="5475CBA0" w14:textId="77777777" w:rsidR="00EE5537" w:rsidRDefault="00EE5537" w:rsidP="00EE5537">
      <w:pPr>
        <w:rPr>
          <w:rFonts w:cs="Arial"/>
        </w:rPr>
      </w:pPr>
    </w:p>
    <w:p w14:paraId="4611AD30" w14:textId="440DF72E" w:rsidR="00EE5537" w:rsidRDefault="00EE5537" w:rsidP="00EE5537">
      <w:pPr>
        <w:rPr>
          <w:rFonts w:cs="Arial"/>
        </w:rPr>
      </w:pPr>
      <w:r>
        <w:rPr>
          <w:rFonts w:cs="Arial"/>
        </w:rPr>
        <w:lastRenderedPageBreak/>
        <w:t xml:space="preserve">So, </w:t>
      </w:r>
      <w:r w:rsidR="0027688B">
        <w:rPr>
          <w:rFonts w:cs="Arial"/>
        </w:rPr>
        <w:t xml:space="preserve">currently </w:t>
      </w:r>
      <w:r>
        <w:rPr>
          <w:rFonts w:cs="Arial"/>
        </w:rPr>
        <w:t xml:space="preserve">while </w:t>
      </w:r>
      <w:r w:rsidR="00670683">
        <w:rPr>
          <w:rFonts w:cs="Arial"/>
        </w:rPr>
        <w:t xml:space="preserve">the Council </w:t>
      </w:r>
      <w:r>
        <w:rPr>
          <w:rFonts w:cs="Arial"/>
        </w:rPr>
        <w:t>can insist that suppliers comply with employment</w:t>
      </w:r>
      <w:r w:rsidR="00F65368">
        <w:rPr>
          <w:rFonts w:cs="Arial"/>
        </w:rPr>
        <w:t xml:space="preserve"> law</w:t>
      </w:r>
      <w:r w:rsidR="004A0717">
        <w:rPr>
          <w:rFonts w:cs="Arial"/>
        </w:rPr>
        <w:t xml:space="preserve"> (and so for example pay the minimum wage to their employees)</w:t>
      </w:r>
      <w:r>
        <w:rPr>
          <w:rFonts w:cs="Arial"/>
        </w:rPr>
        <w:t xml:space="preserve">, and that they have financial standing and the technical or professional ability to perform the contract, </w:t>
      </w:r>
      <w:r w:rsidR="009D4060">
        <w:rPr>
          <w:rFonts w:cs="Arial"/>
        </w:rPr>
        <w:t xml:space="preserve">the Council </w:t>
      </w:r>
      <w:r w:rsidR="00D00FE5">
        <w:rPr>
          <w:rFonts w:cs="Arial"/>
        </w:rPr>
        <w:t>need to work with suppliers and encourage them to pay their employees the RLW</w:t>
      </w:r>
      <w:r w:rsidR="00E47EC5">
        <w:rPr>
          <w:rFonts w:cs="Arial"/>
        </w:rPr>
        <w:t xml:space="preserve">, rather than seeking to </w:t>
      </w:r>
      <w:r>
        <w:rPr>
          <w:rFonts w:cs="Arial"/>
        </w:rPr>
        <w:t xml:space="preserve">exclude them from doing business with the council </w:t>
      </w:r>
      <w:r w:rsidR="004A0717">
        <w:rPr>
          <w:rFonts w:cs="Arial"/>
        </w:rPr>
        <w:t xml:space="preserve">for not </w:t>
      </w:r>
      <w:r w:rsidR="00E47EC5">
        <w:rPr>
          <w:rFonts w:cs="Arial"/>
        </w:rPr>
        <w:t xml:space="preserve">doing so </w:t>
      </w:r>
      <w:r>
        <w:rPr>
          <w:rFonts w:cs="Arial"/>
        </w:rPr>
        <w:t xml:space="preserve">because this is not currently </w:t>
      </w:r>
      <w:r w:rsidR="007A4AE8">
        <w:rPr>
          <w:rFonts w:cs="Arial"/>
        </w:rPr>
        <w:t xml:space="preserve">a </w:t>
      </w:r>
      <w:r>
        <w:rPr>
          <w:rFonts w:cs="Arial"/>
        </w:rPr>
        <w:t>legal</w:t>
      </w:r>
      <w:r w:rsidR="007A4AE8">
        <w:rPr>
          <w:rFonts w:cs="Arial"/>
        </w:rPr>
        <w:t xml:space="preserve"> requirement</w:t>
      </w:r>
      <w:r>
        <w:rPr>
          <w:rFonts w:cs="Arial"/>
        </w:rPr>
        <w:t xml:space="preserve">. Compliance with </w:t>
      </w:r>
      <w:bookmarkStart w:id="4" w:name="_Hlk87008133"/>
      <w:r>
        <w:rPr>
          <w:rFonts w:cs="Arial"/>
        </w:rPr>
        <w:t xml:space="preserve">equality, social value and best value </w:t>
      </w:r>
      <w:bookmarkEnd w:id="4"/>
      <w:r>
        <w:rPr>
          <w:rFonts w:cs="Arial"/>
        </w:rPr>
        <w:t xml:space="preserve">obligations do not allow us to act in breach of </w:t>
      </w:r>
      <w:r w:rsidR="0006159C">
        <w:rPr>
          <w:rFonts w:cs="Arial"/>
        </w:rPr>
        <w:t>public procurement rules</w:t>
      </w:r>
      <w:r w:rsidR="00764D70">
        <w:rPr>
          <w:rFonts w:cs="Arial"/>
        </w:rPr>
        <w:t xml:space="preserve">, but </w:t>
      </w:r>
      <w:r w:rsidR="001C0010">
        <w:rPr>
          <w:rFonts w:cs="Arial"/>
        </w:rPr>
        <w:t xml:space="preserve">the Council </w:t>
      </w:r>
      <w:r w:rsidR="00764D70">
        <w:rPr>
          <w:rFonts w:cs="Arial"/>
        </w:rPr>
        <w:t xml:space="preserve">can </w:t>
      </w:r>
      <w:r w:rsidR="00D70E4B">
        <w:rPr>
          <w:rFonts w:cs="Arial"/>
        </w:rPr>
        <w:t xml:space="preserve">have policies and introduce procurement procedures </w:t>
      </w:r>
      <w:r w:rsidR="0006159C">
        <w:rPr>
          <w:rFonts w:cs="Arial"/>
        </w:rPr>
        <w:t xml:space="preserve">that reflect the letter and intent of </w:t>
      </w:r>
      <w:r w:rsidR="0006159C" w:rsidRPr="0006159C">
        <w:rPr>
          <w:rFonts w:cs="Arial"/>
        </w:rPr>
        <w:t>equality, social value and best value</w:t>
      </w:r>
      <w:r w:rsidR="0006159C">
        <w:rPr>
          <w:rFonts w:cs="Arial"/>
        </w:rPr>
        <w:t xml:space="preserve"> legislation to achieve those policy objectives compliantly with the PCR.</w:t>
      </w:r>
    </w:p>
    <w:p w14:paraId="2FBAF52F" w14:textId="6990C3A1" w:rsidR="00062D04" w:rsidRPr="00AD34FE" w:rsidRDefault="00062D04" w:rsidP="00A1211C">
      <w:pPr>
        <w:rPr>
          <w:szCs w:val="24"/>
        </w:rPr>
      </w:pPr>
    </w:p>
    <w:p w14:paraId="14F2234E" w14:textId="15E7305F" w:rsidR="00694D17" w:rsidRDefault="00C57988" w:rsidP="00A1211C">
      <w:r>
        <w:t>It should be noted that t</w:t>
      </w:r>
      <w:r w:rsidR="00113138">
        <w:t>he</w:t>
      </w:r>
      <w:r w:rsidR="00B16A9F">
        <w:t xml:space="preserve"> Cabinet Office published </w:t>
      </w:r>
      <w:r w:rsidR="00BC1774">
        <w:t xml:space="preserve">a </w:t>
      </w:r>
      <w:r w:rsidR="003A55C5">
        <w:t xml:space="preserve">National Procurement Policy Statement </w:t>
      </w:r>
      <w:r w:rsidR="00B16A9F">
        <w:t xml:space="preserve">in June 2021 </w:t>
      </w:r>
      <w:r w:rsidR="00E40CB2">
        <w:t>which requires contracting authorities to have regard to national strategic priorities</w:t>
      </w:r>
      <w:r w:rsidR="00663228">
        <w:t xml:space="preserve"> when exercising their </w:t>
      </w:r>
      <w:r w:rsidR="00ED2EAC">
        <w:t xml:space="preserve">functions relating to </w:t>
      </w:r>
      <w:r w:rsidR="00E40CB2">
        <w:t>public procurement</w:t>
      </w:r>
      <w:r w:rsidR="00ED2EAC">
        <w:t xml:space="preserve">.  The national priorities relate to </w:t>
      </w:r>
      <w:r w:rsidR="00CB46D9">
        <w:t>social value, commercial and procurement delivery and skills and capability for procurement.</w:t>
      </w:r>
      <w:r w:rsidR="00D13E72">
        <w:t xml:space="preserve">  A new Procurement Bill is also </w:t>
      </w:r>
      <w:r w:rsidR="00950C6D">
        <w:t>expected</w:t>
      </w:r>
      <w:r w:rsidR="00D13E72">
        <w:t xml:space="preserve"> to be introduced </w:t>
      </w:r>
      <w:r w:rsidR="00FF27ED">
        <w:t xml:space="preserve">and become law in </w:t>
      </w:r>
      <w:r w:rsidR="00266C2F">
        <w:t>2023 which</w:t>
      </w:r>
      <w:r w:rsidR="00A83220">
        <w:t xml:space="preserve"> </w:t>
      </w:r>
      <w:r w:rsidR="00113138">
        <w:t xml:space="preserve">will need to be </w:t>
      </w:r>
      <w:r>
        <w:t>considered</w:t>
      </w:r>
      <w:r w:rsidR="00D13E72">
        <w:t>.</w:t>
      </w:r>
    </w:p>
    <w:p w14:paraId="14766B19" w14:textId="77777777" w:rsidR="00950D5B" w:rsidRDefault="00950D5B" w:rsidP="00950D5B">
      <w:pPr>
        <w:pStyle w:val="Heading3"/>
        <w:ind w:left="0" w:firstLine="0"/>
        <w:rPr>
          <w:sz w:val="24"/>
          <w:szCs w:val="24"/>
        </w:rPr>
      </w:pPr>
    </w:p>
    <w:p w14:paraId="11F2AC04" w14:textId="5B03DE2B" w:rsidR="00333FAA" w:rsidRPr="00950D5B" w:rsidRDefault="00333FAA" w:rsidP="00950D5B">
      <w:pPr>
        <w:pStyle w:val="Heading3"/>
        <w:ind w:left="0" w:firstLine="0"/>
        <w:rPr>
          <w:sz w:val="24"/>
          <w:szCs w:val="24"/>
        </w:rPr>
      </w:pPr>
      <w:r w:rsidRPr="00950D5B">
        <w:rPr>
          <w:sz w:val="24"/>
          <w:szCs w:val="24"/>
        </w:rPr>
        <w:t>Financial Implications</w:t>
      </w:r>
    </w:p>
    <w:p w14:paraId="34204B33" w14:textId="77777777" w:rsidR="00950D5B" w:rsidRDefault="00950D5B" w:rsidP="0054590F"/>
    <w:p w14:paraId="1CDE8C8C" w14:textId="1DF75262" w:rsidR="002E74E8" w:rsidRDefault="00FD598A" w:rsidP="0054590F">
      <w:r>
        <w:t xml:space="preserve">The </w:t>
      </w:r>
      <w:r w:rsidR="00E23474">
        <w:t xml:space="preserve">approval </w:t>
      </w:r>
      <w:r>
        <w:t xml:space="preserve">of the recommendations of this report will have </w:t>
      </w:r>
      <w:r w:rsidR="00130080">
        <w:t>potential</w:t>
      </w:r>
      <w:r w:rsidR="00A05889">
        <w:t xml:space="preserve"> </w:t>
      </w:r>
      <w:r>
        <w:t>significant financial implications</w:t>
      </w:r>
      <w:r w:rsidR="00A05889">
        <w:t xml:space="preserve"> over the coming years</w:t>
      </w:r>
      <w:r w:rsidR="009C67D1">
        <w:t>.</w:t>
      </w:r>
      <w:r w:rsidR="00437519">
        <w:t xml:space="preserve"> </w:t>
      </w:r>
      <w:r w:rsidR="000546E5">
        <w:t xml:space="preserve">It is in </w:t>
      </w:r>
      <w:r w:rsidR="00D739FA">
        <w:t>recognition</w:t>
      </w:r>
      <w:r w:rsidR="000546E5">
        <w:t xml:space="preserve"> of the financial impact</w:t>
      </w:r>
      <w:r w:rsidR="002D1033">
        <w:t xml:space="preserve"> alongside the Council </w:t>
      </w:r>
      <w:r w:rsidR="00130080">
        <w:t>challenging financial circumstances</w:t>
      </w:r>
      <w:r w:rsidR="000546E5">
        <w:t xml:space="preserve"> of </w:t>
      </w:r>
      <w:r w:rsidR="001950C4">
        <w:t xml:space="preserve">paying the </w:t>
      </w:r>
      <w:r w:rsidR="008A4E79">
        <w:t>R</w:t>
      </w:r>
      <w:r w:rsidR="001950C4">
        <w:t xml:space="preserve">LW into our supply chain that a period of 7 years has been agreed with the Living Wage Foundation </w:t>
      </w:r>
      <w:r w:rsidR="00B63F17">
        <w:t>to give the</w:t>
      </w:r>
      <w:r w:rsidR="004443E6">
        <w:t xml:space="preserve"> Council</w:t>
      </w:r>
      <w:r w:rsidR="00B63F17">
        <w:t xml:space="preserve"> time to transition as per the</w:t>
      </w:r>
      <w:r w:rsidR="00EE58F5">
        <w:t xml:space="preserve"> 7-year</w:t>
      </w:r>
      <w:r w:rsidR="00B63F17">
        <w:t xml:space="preserve"> plan appended.</w:t>
      </w:r>
    </w:p>
    <w:p w14:paraId="09479C4B" w14:textId="1B4394EF" w:rsidR="00B63F17" w:rsidRDefault="00B63F17" w:rsidP="0054590F"/>
    <w:p w14:paraId="22D913FE" w14:textId="2809425D" w:rsidR="0049731F" w:rsidRDefault="002C0302" w:rsidP="0054590F">
      <w:r>
        <w:t xml:space="preserve">This plan </w:t>
      </w:r>
      <w:r w:rsidR="00B6352A">
        <w:t xml:space="preserve">has been designed to </w:t>
      </w:r>
      <w:r>
        <w:t xml:space="preserve">allow </w:t>
      </w:r>
      <w:r w:rsidR="00B6352A">
        <w:t xml:space="preserve">the Council </w:t>
      </w:r>
      <w:r>
        <w:t>in the early years</w:t>
      </w:r>
      <w:r w:rsidR="000747C3">
        <w:t xml:space="preserve"> to</w:t>
      </w:r>
      <w:r>
        <w:t xml:space="preserve"> </w:t>
      </w:r>
      <w:r w:rsidR="008E7CD7">
        <w:t xml:space="preserve">re-tender </w:t>
      </w:r>
      <w:r w:rsidR="00F978CA">
        <w:t>s</w:t>
      </w:r>
      <w:r w:rsidR="008E7CD7">
        <w:t>ervices</w:t>
      </w:r>
      <w:r w:rsidR="00F978CA">
        <w:t xml:space="preserve"> that </w:t>
      </w:r>
      <w:r w:rsidR="00CB3FDF">
        <w:t xml:space="preserve">have </w:t>
      </w:r>
      <w:r w:rsidR="00E75E82">
        <w:t>a low financial impact</w:t>
      </w:r>
      <w:r w:rsidR="00E41DD7">
        <w:t xml:space="preserve"> </w:t>
      </w:r>
      <w:r w:rsidR="0049731F">
        <w:t>considering</w:t>
      </w:r>
      <w:r w:rsidR="00E42FD5">
        <w:t xml:space="preserve"> the financial challenges and also to allow the Council to </w:t>
      </w:r>
      <w:r w:rsidR="0049731F">
        <w:t xml:space="preserve">considered approach to implementation for those services falling into the </w:t>
      </w:r>
      <w:r w:rsidR="00A066E7">
        <w:t xml:space="preserve">mid and </w:t>
      </w:r>
      <w:r w:rsidR="00CB6CA6">
        <w:t>later</w:t>
      </w:r>
      <w:r w:rsidR="00A066E7">
        <w:t xml:space="preserve"> years of the plan.</w:t>
      </w:r>
    </w:p>
    <w:p w14:paraId="442D60EA" w14:textId="64F0A0C0" w:rsidR="00264967" w:rsidRDefault="00264967">
      <w:pPr>
        <w:rPr>
          <w:rFonts w:cs="Arial"/>
        </w:rPr>
      </w:pPr>
    </w:p>
    <w:p w14:paraId="11A31EF7" w14:textId="555763C1" w:rsidR="00A04D48" w:rsidRDefault="00A04D48" w:rsidP="00A04D48">
      <w:pPr>
        <w:rPr>
          <w:rFonts w:cs="Arial"/>
        </w:rPr>
      </w:pPr>
      <w:r>
        <w:rPr>
          <w:rFonts w:cs="Arial"/>
        </w:rPr>
        <w:t>T</w:t>
      </w:r>
      <w:r w:rsidRPr="00F23444">
        <w:rPr>
          <w:rFonts w:cs="Arial"/>
        </w:rPr>
        <w:t>he following tables show the estimated cost impact of introducing RLW in the supply chain from 1 April 2022, including a predicted 2% increase in RLW rates. Not all contracts are impacted in year 1. Depending on when contracts are re-tendered the impact may not fall until years 2 – 5.</w:t>
      </w:r>
    </w:p>
    <w:p w14:paraId="75791C77" w14:textId="77777777" w:rsidR="00556EDD" w:rsidRDefault="00556EDD" w:rsidP="00A04D48">
      <w:pPr>
        <w:rPr>
          <w:rFonts w:cs="Arial"/>
          <w:b/>
          <w:bCs/>
        </w:rPr>
      </w:pPr>
    </w:p>
    <w:p w14:paraId="3E485891" w14:textId="5F485887" w:rsidR="00A04D48" w:rsidRPr="00984013" w:rsidRDefault="00A04D48" w:rsidP="00A04D48">
      <w:pPr>
        <w:rPr>
          <w:rFonts w:cs="Arial"/>
          <w:b/>
          <w:bCs/>
        </w:rPr>
      </w:pPr>
      <w:r w:rsidRPr="00984013">
        <w:rPr>
          <w:rFonts w:cs="Arial"/>
          <w:b/>
          <w:bCs/>
        </w:rPr>
        <w:t xml:space="preserve">YEAR BY YEAR LOOK AT IMPACT OF INTRODUCING THE </w:t>
      </w:r>
      <w:r w:rsidR="005735E3">
        <w:rPr>
          <w:rFonts w:cs="Arial"/>
          <w:b/>
          <w:bCs/>
        </w:rPr>
        <w:t xml:space="preserve">RLW </w:t>
      </w:r>
      <w:r w:rsidRPr="00984013">
        <w:rPr>
          <w:rFonts w:cs="Arial"/>
          <w:b/>
          <w:bCs/>
        </w:rPr>
        <w:t>INTO OUR SUPPLY CHAIN WITHOUT SC SPOT CONTRACTS</w:t>
      </w:r>
      <w:r>
        <w:rPr>
          <w:rFonts w:cs="Arial"/>
          <w:b/>
          <w:bCs/>
        </w:rPr>
        <w:t xml:space="preserve"> (£M)</w:t>
      </w:r>
    </w:p>
    <w:tbl>
      <w:tblPr>
        <w:tblStyle w:val="TableGrid"/>
        <w:tblW w:w="0" w:type="auto"/>
        <w:tblLook w:val="04A0" w:firstRow="1" w:lastRow="0" w:firstColumn="1" w:lastColumn="0" w:noHBand="0" w:noVBand="1"/>
      </w:tblPr>
      <w:tblGrid>
        <w:gridCol w:w="1053"/>
        <w:gridCol w:w="998"/>
        <w:gridCol w:w="998"/>
        <w:gridCol w:w="998"/>
        <w:gridCol w:w="998"/>
        <w:gridCol w:w="998"/>
        <w:gridCol w:w="998"/>
        <w:gridCol w:w="998"/>
      </w:tblGrid>
      <w:tr w:rsidR="00A04D48" w:rsidRPr="00984013" w14:paraId="7A4B8270" w14:textId="77777777" w:rsidTr="00F61F4B">
        <w:tc>
          <w:tcPr>
            <w:tcW w:w="1053" w:type="dxa"/>
          </w:tcPr>
          <w:p w14:paraId="787A9A60" w14:textId="77777777" w:rsidR="00A04D48" w:rsidRPr="00984013" w:rsidRDefault="00A04D48" w:rsidP="00F61F4B">
            <w:pPr>
              <w:rPr>
                <w:rFonts w:cs="Arial"/>
              </w:rPr>
            </w:pPr>
            <w:r w:rsidRPr="00984013">
              <w:rPr>
                <w:rFonts w:cs="Arial"/>
              </w:rPr>
              <w:t>Year</w:t>
            </w:r>
          </w:p>
        </w:tc>
        <w:tc>
          <w:tcPr>
            <w:tcW w:w="998" w:type="dxa"/>
          </w:tcPr>
          <w:p w14:paraId="12813DB4" w14:textId="77777777" w:rsidR="00A04D48" w:rsidRPr="00984013" w:rsidRDefault="00A04D48" w:rsidP="00F61F4B">
            <w:pPr>
              <w:rPr>
                <w:rFonts w:cs="Arial"/>
              </w:rPr>
            </w:pPr>
            <w:r w:rsidRPr="00984013">
              <w:rPr>
                <w:rFonts w:cs="Arial"/>
              </w:rPr>
              <w:t>1</w:t>
            </w:r>
          </w:p>
        </w:tc>
        <w:tc>
          <w:tcPr>
            <w:tcW w:w="998" w:type="dxa"/>
          </w:tcPr>
          <w:p w14:paraId="0328DA5E" w14:textId="77777777" w:rsidR="00A04D48" w:rsidRPr="00984013" w:rsidRDefault="00A04D48" w:rsidP="00F61F4B">
            <w:pPr>
              <w:rPr>
                <w:rFonts w:cs="Arial"/>
              </w:rPr>
            </w:pPr>
            <w:r w:rsidRPr="00984013">
              <w:rPr>
                <w:rFonts w:cs="Arial"/>
              </w:rPr>
              <w:t>2</w:t>
            </w:r>
          </w:p>
        </w:tc>
        <w:tc>
          <w:tcPr>
            <w:tcW w:w="998" w:type="dxa"/>
          </w:tcPr>
          <w:p w14:paraId="514DEF8F" w14:textId="77777777" w:rsidR="00A04D48" w:rsidRPr="00984013" w:rsidRDefault="00A04D48" w:rsidP="00F61F4B">
            <w:pPr>
              <w:rPr>
                <w:rFonts w:cs="Arial"/>
              </w:rPr>
            </w:pPr>
            <w:r w:rsidRPr="00984013">
              <w:rPr>
                <w:rFonts w:cs="Arial"/>
              </w:rPr>
              <w:t>3</w:t>
            </w:r>
          </w:p>
        </w:tc>
        <w:tc>
          <w:tcPr>
            <w:tcW w:w="998" w:type="dxa"/>
          </w:tcPr>
          <w:p w14:paraId="35EC2F9F" w14:textId="77777777" w:rsidR="00A04D48" w:rsidRPr="00984013" w:rsidRDefault="00A04D48" w:rsidP="00F61F4B">
            <w:pPr>
              <w:rPr>
                <w:rFonts w:cs="Arial"/>
              </w:rPr>
            </w:pPr>
            <w:r w:rsidRPr="00984013">
              <w:rPr>
                <w:rFonts w:cs="Arial"/>
              </w:rPr>
              <w:t>4</w:t>
            </w:r>
          </w:p>
        </w:tc>
        <w:tc>
          <w:tcPr>
            <w:tcW w:w="998" w:type="dxa"/>
          </w:tcPr>
          <w:p w14:paraId="40EBBC1B" w14:textId="77777777" w:rsidR="00A04D48" w:rsidRPr="00984013" w:rsidRDefault="00A04D48" w:rsidP="00F61F4B">
            <w:pPr>
              <w:rPr>
                <w:rFonts w:cs="Arial"/>
              </w:rPr>
            </w:pPr>
            <w:r w:rsidRPr="00984013">
              <w:rPr>
                <w:rFonts w:cs="Arial"/>
              </w:rPr>
              <w:t>5</w:t>
            </w:r>
          </w:p>
        </w:tc>
        <w:tc>
          <w:tcPr>
            <w:tcW w:w="998" w:type="dxa"/>
          </w:tcPr>
          <w:p w14:paraId="2E9C2D61" w14:textId="77777777" w:rsidR="00A04D48" w:rsidRPr="00984013" w:rsidRDefault="00A04D48" w:rsidP="00F61F4B">
            <w:pPr>
              <w:rPr>
                <w:rFonts w:cs="Arial"/>
              </w:rPr>
            </w:pPr>
            <w:r w:rsidRPr="00984013">
              <w:rPr>
                <w:rFonts w:cs="Arial"/>
              </w:rPr>
              <w:t>6</w:t>
            </w:r>
          </w:p>
        </w:tc>
        <w:tc>
          <w:tcPr>
            <w:tcW w:w="998" w:type="dxa"/>
          </w:tcPr>
          <w:p w14:paraId="3885A659" w14:textId="77777777" w:rsidR="00A04D48" w:rsidRPr="00984013" w:rsidRDefault="00A04D48" w:rsidP="00F61F4B">
            <w:pPr>
              <w:rPr>
                <w:rFonts w:cs="Arial"/>
              </w:rPr>
            </w:pPr>
            <w:r w:rsidRPr="00984013">
              <w:rPr>
                <w:rFonts w:cs="Arial"/>
              </w:rPr>
              <w:t>7</w:t>
            </w:r>
          </w:p>
        </w:tc>
      </w:tr>
      <w:tr w:rsidR="00A04D48" w:rsidRPr="00984013" w14:paraId="5E6CFB6B" w14:textId="77777777" w:rsidTr="00F61F4B">
        <w:tc>
          <w:tcPr>
            <w:tcW w:w="1053" w:type="dxa"/>
          </w:tcPr>
          <w:p w14:paraId="3DD80849" w14:textId="77777777" w:rsidR="00A04D48" w:rsidRPr="00984013" w:rsidRDefault="00A04D48" w:rsidP="00F61F4B">
            <w:pPr>
              <w:rPr>
                <w:rFonts w:cs="Arial"/>
              </w:rPr>
            </w:pPr>
          </w:p>
        </w:tc>
        <w:tc>
          <w:tcPr>
            <w:tcW w:w="998" w:type="dxa"/>
          </w:tcPr>
          <w:p w14:paraId="23C2AD44" w14:textId="77777777" w:rsidR="00A04D48" w:rsidRPr="00984013" w:rsidRDefault="00A04D48" w:rsidP="00F61F4B">
            <w:pPr>
              <w:rPr>
                <w:rFonts w:cs="Arial"/>
              </w:rPr>
            </w:pPr>
            <w:r>
              <w:rPr>
                <w:rFonts w:cs="Arial"/>
              </w:rPr>
              <w:t>£0.305</w:t>
            </w:r>
          </w:p>
        </w:tc>
        <w:tc>
          <w:tcPr>
            <w:tcW w:w="998" w:type="dxa"/>
          </w:tcPr>
          <w:p w14:paraId="7E7DCDE2" w14:textId="77777777" w:rsidR="00A04D48" w:rsidRPr="00984013" w:rsidRDefault="00A04D48" w:rsidP="00F61F4B">
            <w:pPr>
              <w:rPr>
                <w:rFonts w:cs="Arial"/>
              </w:rPr>
            </w:pPr>
            <w:r>
              <w:rPr>
                <w:rFonts w:cs="Arial"/>
              </w:rPr>
              <w:t>£0.555</w:t>
            </w:r>
          </w:p>
        </w:tc>
        <w:tc>
          <w:tcPr>
            <w:tcW w:w="998" w:type="dxa"/>
          </w:tcPr>
          <w:p w14:paraId="3B50628B" w14:textId="77777777" w:rsidR="00A04D48" w:rsidRPr="00984013" w:rsidRDefault="00A04D48" w:rsidP="00F61F4B">
            <w:pPr>
              <w:rPr>
                <w:rFonts w:cs="Arial"/>
              </w:rPr>
            </w:pPr>
            <w:r>
              <w:rPr>
                <w:rFonts w:cs="Arial"/>
              </w:rPr>
              <w:t>£0.695</w:t>
            </w:r>
          </w:p>
        </w:tc>
        <w:tc>
          <w:tcPr>
            <w:tcW w:w="998" w:type="dxa"/>
          </w:tcPr>
          <w:p w14:paraId="15E149B0" w14:textId="77777777" w:rsidR="00A04D48" w:rsidRPr="00984013" w:rsidRDefault="00A04D48" w:rsidP="00F61F4B">
            <w:pPr>
              <w:rPr>
                <w:rFonts w:cs="Arial"/>
              </w:rPr>
            </w:pPr>
            <w:r>
              <w:rPr>
                <w:rFonts w:cs="Arial"/>
              </w:rPr>
              <w:t>£0.859</w:t>
            </w:r>
          </w:p>
        </w:tc>
        <w:tc>
          <w:tcPr>
            <w:tcW w:w="998" w:type="dxa"/>
          </w:tcPr>
          <w:p w14:paraId="7ED49A95" w14:textId="77777777" w:rsidR="00A04D48" w:rsidRPr="00984013" w:rsidRDefault="00A04D48" w:rsidP="00F61F4B">
            <w:pPr>
              <w:rPr>
                <w:rFonts w:cs="Arial"/>
              </w:rPr>
            </w:pPr>
            <w:r>
              <w:rPr>
                <w:rFonts w:cs="Arial"/>
              </w:rPr>
              <w:t>£0.943</w:t>
            </w:r>
          </w:p>
        </w:tc>
        <w:tc>
          <w:tcPr>
            <w:tcW w:w="998" w:type="dxa"/>
          </w:tcPr>
          <w:p w14:paraId="3D3B486E" w14:textId="77777777" w:rsidR="00A04D48" w:rsidRPr="00984013" w:rsidRDefault="00A04D48" w:rsidP="00F61F4B">
            <w:pPr>
              <w:rPr>
                <w:rFonts w:cs="Arial"/>
              </w:rPr>
            </w:pPr>
            <w:r>
              <w:rPr>
                <w:rFonts w:cs="Arial"/>
              </w:rPr>
              <w:t>£0.966</w:t>
            </w:r>
          </w:p>
        </w:tc>
        <w:tc>
          <w:tcPr>
            <w:tcW w:w="998" w:type="dxa"/>
          </w:tcPr>
          <w:p w14:paraId="26567902" w14:textId="77777777" w:rsidR="00A04D48" w:rsidRPr="00984013" w:rsidRDefault="00A04D48" w:rsidP="00F61F4B">
            <w:pPr>
              <w:rPr>
                <w:rFonts w:cs="Arial"/>
              </w:rPr>
            </w:pPr>
            <w:r>
              <w:rPr>
                <w:rFonts w:cs="Arial"/>
              </w:rPr>
              <w:t>£0.985</w:t>
            </w:r>
          </w:p>
        </w:tc>
      </w:tr>
    </w:tbl>
    <w:p w14:paraId="780D12AF" w14:textId="40C9B283" w:rsidR="00B14BC0" w:rsidRPr="008E30E8" w:rsidRDefault="008E30E8" w:rsidP="00A04D48">
      <w:pPr>
        <w:rPr>
          <w:rFonts w:cs="Arial"/>
          <w:sz w:val="16"/>
          <w:szCs w:val="16"/>
        </w:rPr>
      </w:pPr>
      <w:r w:rsidRPr="008E30E8">
        <w:rPr>
          <w:rFonts w:cs="Arial"/>
          <w:sz w:val="16"/>
          <w:szCs w:val="16"/>
        </w:rPr>
        <w:t>*These</w:t>
      </w:r>
      <w:r>
        <w:rPr>
          <w:rFonts w:cs="Arial"/>
          <w:sz w:val="16"/>
          <w:szCs w:val="16"/>
        </w:rPr>
        <w:t xml:space="preserve"> rates are based on the </w:t>
      </w:r>
      <w:r w:rsidR="00946E4D">
        <w:rPr>
          <w:rFonts w:cs="Arial"/>
          <w:sz w:val="16"/>
          <w:szCs w:val="16"/>
        </w:rPr>
        <w:t>2021 RLW rates.</w:t>
      </w:r>
      <w:r w:rsidRPr="008E30E8">
        <w:rPr>
          <w:rFonts w:cs="Arial"/>
          <w:sz w:val="16"/>
          <w:szCs w:val="16"/>
        </w:rPr>
        <w:t xml:space="preserve"> </w:t>
      </w:r>
    </w:p>
    <w:p w14:paraId="44DBBCAE" w14:textId="77777777" w:rsidR="008E30E8" w:rsidRDefault="008E30E8" w:rsidP="00A04D48">
      <w:pPr>
        <w:rPr>
          <w:rFonts w:cs="Arial"/>
          <w:b/>
          <w:bCs/>
        </w:rPr>
      </w:pPr>
    </w:p>
    <w:p w14:paraId="15F632D5" w14:textId="6FB66DF9" w:rsidR="00A04D48" w:rsidRPr="0010531C" w:rsidRDefault="00A04D48" w:rsidP="0075658C">
      <w:pPr>
        <w:rPr>
          <w:rFonts w:cs="Arial"/>
          <w:b/>
          <w:bCs/>
        </w:rPr>
      </w:pPr>
      <w:r w:rsidRPr="0010531C">
        <w:rPr>
          <w:rFonts w:cs="Arial"/>
          <w:b/>
          <w:bCs/>
        </w:rPr>
        <w:t>AN INCREMENTAL APPROACH WITH SOCIAL CARE SPOT CONTRACTING BACKENDED IN THE PLAN TO YEAR 6-7 (£M)</w:t>
      </w:r>
    </w:p>
    <w:tbl>
      <w:tblPr>
        <w:tblStyle w:val="TableGrid"/>
        <w:tblW w:w="0" w:type="auto"/>
        <w:tblLook w:val="04A0" w:firstRow="1" w:lastRow="0" w:firstColumn="1" w:lastColumn="0" w:noHBand="0" w:noVBand="1"/>
      </w:tblPr>
      <w:tblGrid>
        <w:gridCol w:w="1053"/>
        <w:gridCol w:w="998"/>
        <w:gridCol w:w="998"/>
        <w:gridCol w:w="998"/>
        <w:gridCol w:w="998"/>
        <w:gridCol w:w="998"/>
        <w:gridCol w:w="998"/>
        <w:gridCol w:w="1084"/>
      </w:tblGrid>
      <w:tr w:rsidR="00A04D48" w:rsidRPr="0010531C" w14:paraId="7C9FD46A" w14:textId="77777777" w:rsidTr="00586920">
        <w:tc>
          <w:tcPr>
            <w:tcW w:w="1053" w:type="dxa"/>
          </w:tcPr>
          <w:p w14:paraId="2108CBA1" w14:textId="77777777" w:rsidR="00A04D48" w:rsidRPr="0010531C" w:rsidRDefault="00A04D48" w:rsidP="0075658C">
            <w:pPr>
              <w:rPr>
                <w:rFonts w:cs="Arial"/>
              </w:rPr>
            </w:pPr>
            <w:r w:rsidRPr="0010531C">
              <w:rPr>
                <w:rFonts w:cs="Arial"/>
              </w:rPr>
              <w:t>Year</w:t>
            </w:r>
          </w:p>
        </w:tc>
        <w:tc>
          <w:tcPr>
            <w:tcW w:w="998" w:type="dxa"/>
          </w:tcPr>
          <w:p w14:paraId="6978A671" w14:textId="77777777" w:rsidR="00A04D48" w:rsidRPr="0010531C" w:rsidRDefault="00A04D48" w:rsidP="0075658C">
            <w:pPr>
              <w:rPr>
                <w:rFonts w:cs="Arial"/>
              </w:rPr>
            </w:pPr>
            <w:r w:rsidRPr="0010531C">
              <w:rPr>
                <w:rFonts w:cs="Arial"/>
              </w:rPr>
              <w:t>1</w:t>
            </w:r>
          </w:p>
        </w:tc>
        <w:tc>
          <w:tcPr>
            <w:tcW w:w="998" w:type="dxa"/>
          </w:tcPr>
          <w:p w14:paraId="54963DC7" w14:textId="77777777" w:rsidR="00A04D48" w:rsidRPr="0010531C" w:rsidRDefault="00A04D48" w:rsidP="0075658C">
            <w:pPr>
              <w:rPr>
                <w:rFonts w:cs="Arial"/>
              </w:rPr>
            </w:pPr>
            <w:r w:rsidRPr="0010531C">
              <w:rPr>
                <w:rFonts w:cs="Arial"/>
              </w:rPr>
              <w:t>2</w:t>
            </w:r>
          </w:p>
        </w:tc>
        <w:tc>
          <w:tcPr>
            <w:tcW w:w="998" w:type="dxa"/>
          </w:tcPr>
          <w:p w14:paraId="22CCD762" w14:textId="77777777" w:rsidR="00A04D48" w:rsidRPr="0010531C" w:rsidRDefault="00A04D48" w:rsidP="0075658C">
            <w:pPr>
              <w:rPr>
                <w:rFonts w:cs="Arial"/>
              </w:rPr>
            </w:pPr>
            <w:r w:rsidRPr="0010531C">
              <w:rPr>
                <w:rFonts w:cs="Arial"/>
              </w:rPr>
              <w:t>3</w:t>
            </w:r>
          </w:p>
        </w:tc>
        <w:tc>
          <w:tcPr>
            <w:tcW w:w="998" w:type="dxa"/>
          </w:tcPr>
          <w:p w14:paraId="276F8725" w14:textId="77777777" w:rsidR="00A04D48" w:rsidRPr="0010531C" w:rsidRDefault="00A04D48" w:rsidP="0075658C">
            <w:pPr>
              <w:rPr>
                <w:rFonts w:cs="Arial"/>
              </w:rPr>
            </w:pPr>
            <w:r w:rsidRPr="0010531C">
              <w:rPr>
                <w:rFonts w:cs="Arial"/>
              </w:rPr>
              <w:t>4</w:t>
            </w:r>
          </w:p>
        </w:tc>
        <w:tc>
          <w:tcPr>
            <w:tcW w:w="998" w:type="dxa"/>
          </w:tcPr>
          <w:p w14:paraId="7CA06749" w14:textId="77777777" w:rsidR="00A04D48" w:rsidRPr="0010531C" w:rsidRDefault="00A04D48" w:rsidP="0075658C">
            <w:pPr>
              <w:rPr>
                <w:rFonts w:cs="Arial"/>
              </w:rPr>
            </w:pPr>
            <w:r w:rsidRPr="0010531C">
              <w:rPr>
                <w:rFonts w:cs="Arial"/>
              </w:rPr>
              <w:t>5</w:t>
            </w:r>
          </w:p>
        </w:tc>
        <w:tc>
          <w:tcPr>
            <w:tcW w:w="998" w:type="dxa"/>
          </w:tcPr>
          <w:p w14:paraId="30A75B59" w14:textId="77777777" w:rsidR="00A04D48" w:rsidRPr="0010531C" w:rsidRDefault="00A04D48" w:rsidP="0075658C">
            <w:pPr>
              <w:rPr>
                <w:rFonts w:cs="Arial"/>
              </w:rPr>
            </w:pPr>
            <w:r w:rsidRPr="0010531C">
              <w:rPr>
                <w:rFonts w:cs="Arial"/>
              </w:rPr>
              <w:t>6</w:t>
            </w:r>
          </w:p>
        </w:tc>
        <w:tc>
          <w:tcPr>
            <w:tcW w:w="1084" w:type="dxa"/>
          </w:tcPr>
          <w:p w14:paraId="1F683AAD" w14:textId="77777777" w:rsidR="00A04D48" w:rsidRPr="0010531C" w:rsidRDefault="00A04D48" w:rsidP="0075658C">
            <w:pPr>
              <w:rPr>
                <w:rFonts w:cs="Arial"/>
              </w:rPr>
            </w:pPr>
            <w:r w:rsidRPr="0010531C">
              <w:rPr>
                <w:rFonts w:cs="Arial"/>
              </w:rPr>
              <w:t>7</w:t>
            </w:r>
          </w:p>
        </w:tc>
      </w:tr>
      <w:tr w:rsidR="00A04D48" w:rsidRPr="0010531C" w14:paraId="31C93255" w14:textId="77777777" w:rsidTr="00586920">
        <w:tc>
          <w:tcPr>
            <w:tcW w:w="1053" w:type="dxa"/>
          </w:tcPr>
          <w:p w14:paraId="1AA4D0FC" w14:textId="77777777" w:rsidR="00A04D48" w:rsidRPr="0010531C" w:rsidRDefault="00A04D48" w:rsidP="0075658C">
            <w:pPr>
              <w:rPr>
                <w:rFonts w:cs="Arial"/>
              </w:rPr>
            </w:pPr>
          </w:p>
        </w:tc>
        <w:tc>
          <w:tcPr>
            <w:tcW w:w="998" w:type="dxa"/>
          </w:tcPr>
          <w:p w14:paraId="3FF20B5E" w14:textId="77777777" w:rsidR="00A04D48" w:rsidRPr="002A3956" w:rsidRDefault="00A04D48" w:rsidP="0075658C">
            <w:pPr>
              <w:rPr>
                <w:rFonts w:cs="Arial"/>
              </w:rPr>
            </w:pPr>
            <w:r w:rsidRPr="002A3956">
              <w:rPr>
                <w:rFonts w:cs="Arial"/>
              </w:rPr>
              <w:t>£0.305</w:t>
            </w:r>
          </w:p>
        </w:tc>
        <w:tc>
          <w:tcPr>
            <w:tcW w:w="998" w:type="dxa"/>
          </w:tcPr>
          <w:p w14:paraId="43AAFB5A" w14:textId="77777777" w:rsidR="00A04D48" w:rsidRPr="002A3956" w:rsidRDefault="00A04D48" w:rsidP="0075658C">
            <w:pPr>
              <w:rPr>
                <w:rFonts w:cs="Arial"/>
              </w:rPr>
            </w:pPr>
            <w:r w:rsidRPr="002A3956">
              <w:rPr>
                <w:rFonts w:cs="Arial"/>
              </w:rPr>
              <w:t>£0.555</w:t>
            </w:r>
          </w:p>
        </w:tc>
        <w:tc>
          <w:tcPr>
            <w:tcW w:w="998" w:type="dxa"/>
          </w:tcPr>
          <w:p w14:paraId="11797C3F" w14:textId="77777777" w:rsidR="00A04D48" w:rsidRPr="002A3956" w:rsidRDefault="00A04D48" w:rsidP="0075658C">
            <w:pPr>
              <w:rPr>
                <w:rFonts w:cs="Arial"/>
              </w:rPr>
            </w:pPr>
            <w:r w:rsidRPr="002A3956">
              <w:rPr>
                <w:rFonts w:cs="Arial"/>
              </w:rPr>
              <w:t>£0.695</w:t>
            </w:r>
          </w:p>
        </w:tc>
        <w:tc>
          <w:tcPr>
            <w:tcW w:w="998" w:type="dxa"/>
          </w:tcPr>
          <w:p w14:paraId="7CA03A79" w14:textId="77777777" w:rsidR="00A04D48" w:rsidRPr="002A3956" w:rsidRDefault="00A04D48" w:rsidP="0075658C">
            <w:pPr>
              <w:rPr>
                <w:rFonts w:cs="Arial"/>
              </w:rPr>
            </w:pPr>
            <w:r w:rsidRPr="002A3956">
              <w:rPr>
                <w:rFonts w:cs="Arial"/>
              </w:rPr>
              <w:t>£0.859</w:t>
            </w:r>
          </w:p>
        </w:tc>
        <w:tc>
          <w:tcPr>
            <w:tcW w:w="998" w:type="dxa"/>
          </w:tcPr>
          <w:p w14:paraId="29F04000" w14:textId="77777777" w:rsidR="00A04D48" w:rsidRPr="002A3956" w:rsidRDefault="00A04D48" w:rsidP="0075658C">
            <w:pPr>
              <w:rPr>
                <w:rFonts w:cs="Arial"/>
              </w:rPr>
            </w:pPr>
            <w:r w:rsidRPr="002A3956">
              <w:rPr>
                <w:rFonts w:cs="Arial"/>
              </w:rPr>
              <w:t>£0.943</w:t>
            </w:r>
          </w:p>
        </w:tc>
        <w:tc>
          <w:tcPr>
            <w:tcW w:w="998" w:type="dxa"/>
          </w:tcPr>
          <w:p w14:paraId="00D40636" w14:textId="77777777" w:rsidR="00A04D48" w:rsidRPr="0010531C" w:rsidRDefault="00A04D48" w:rsidP="0075658C">
            <w:pPr>
              <w:rPr>
                <w:rFonts w:cs="Arial"/>
              </w:rPr>
            </w:pPr>
            <w:r w:rsidRPr="0010531C">
              <w:rPr>
                <w:rFonts w:cs="Arial"/>
              </w:rPr>
              <w:t>£7.</w:t>
            </w:r>
            <w:r>
              <w:rPr>
                <w:rFonts w:cs="Arial"/>
              </w:rPr>
              <w:t>721</w:t>
            </w:r>
          </w:p>
        </w:tc>
        <w:tc>
          <w:tcPr>
            <w:tcW w:w="1084" w:type="dxa"/>
          </w:tcPr>
          <w:p w14:paraId="60FF00A9" w14:textId="77777777" w:rsidR="00A04D48" w:rsidRPr="0010531C" w:rsidRDefault="00A04D48" w:rsidP="0075658C">
            <w:pPr>
              <w:rPr>
                <w:rFonts w:cs="Arial"/>
              </w:rPr>
            </w:pPr>
            <w:r w:rsidRPr="0010531C">
              <w:rPr>
                <w:rFonts w:cs="Arial"/>
              </w:rPr>
              <w:t>£14.</w:t>
            </w:r>
            <w:r>
              <w:rPr>
                <w:rFonts w:cs="Arial"/>
              </w:rPr>
              <w:t>771</w:t>
            </w:r>
          </w:p>
        </w:tc>
      </w:tr>
    </w:tbl>
    <w:p w14:paraId="0CF9A658" w14:textId="60CEFAA2" w:rsidR="001F33B5" w:rsidRDefault="001F33B5">
      <w:pPr>
        <w:rPr>
          <w:rFonts w:cs="Arial"/>
          <w:b/>
          <w:bCs/>
        </w:rPr>
      </w:pPr>
    </w:p>
    <w:p w14:paraId="7F720EA3" w14:textId="424F4E4D" w:rsidR="00B940BA" w:rsidRPr="00717DB1" w:rsidRDefault="00E56601">
      <w:pPr>
        <w:rPr>
          <w:rFonts w:cs="Arial"/>
        </w:rPr>
      </w:pPr>
      <w:r w:rsidRPr="00717DB1">
        <w:rPr>
          <w:rFonts w:cs="Arial"/>
        </w:rPr>
        <w:lastRenderedPageBreak/>
        <w:t xml:space="preserve">The 2022/2023 draft budget and </w:t>
      </w:r>
      <w:r w:rsidR="00717DB1" w:rsidRPr="00717DB1">
        <w:rPr>
          <w:rFonts w:cs="Arial"/>
        </w:rPr>
        <w:t>three-year</w:t>
      </w:r>
      <w:r w:rsidRPr="00717DB1">
        <w:rPr>
          <w:rFonts w:cs="Arial"/>
        </w:rPr>
        <w:t xml:space="preserve"> draft MTFS which is subject to a re</w:t>
      </w:r>
      <w:r w:rsidR="00717DB1" w:rsidRPr="00717DB1">
        <w:rPr>
          <w:rFonts w:cs="Arial"/>
        </w:rPr>
        <w:t>p</w:t>
      </w:r>
      <w:r w:rsidRPr="00717DB1">
        <w:rPr>
          <w:rFonts w:cs="Arial"/>
        </w:rPr>
        <w:t xml:space="preserve">ort elsewhere on this agenda includes </w:t>
      </w:r>
      <w:r w:rsidR="00575D5F" w:rsidRPr="00717DB1">
        <w:rPr>
          <w:rFonts w:cs="Arial"/>
        </w:rPr>
        <w:t xml:space="preserve">a budget </w:t>
      </w:r>
      <w:r w:rsidR="00283221" w:rsidRPr="00717DB1">
        <w:rPr>
          <w:rFonts w:cs="Arial"/>
        </w:rPr>
        <w:t>provision</w:t>
      </w:r>
      <w:r w:rsidR="00575D5F" w:rsidRPr="00717DB1">
        <w:rPr>
          <w:rFonts w:cs="Arial"/>
        </w:rPr>
        <w:t xml:space="preserve"> of £450k in years 2022/2023 </w:t>
      </w:r>
      <w:r w:rsidR="00AE50CD">
        <w:rPr>
          <w:rFonts w:cs="Arial"/>
        </w:rPr>
        <w:t xml:space="preserve">and 2023/2024 </w:t>
      </w:r>
      <w:r w:rsidR="00575D5F" w:rsidRPr="00717DB1">
        <w:rPr>
          <w:rFonts w:cs="Arial"/>
        </w:rPr>
        <w:t>which is intended to cover the implementation of the wage in the early years.</w:t>
      </w:r>
      <w:r w:rsidR="00717DB1" w:rsidRPr="00717DB1">
        <w:rPr>
          <w:rFonts w:cs="Arial"/>
        </w:rPr>
        <w:t xml:space="preserve"> The MTFS will be refreshed as the implementation plan proceeds.</w:t>
      </w:r>
    </w:p>
    <w:p w14:paraId="4AB97977" w14:textId="77777777" w:rsidR="00C05741" w:rsidRDefault="00C05741" w:rsidP="00C05741">
      <w:pPr>
        <w:pStyle w:val="Heading3"/>
        <w:rPr>
          <w:sz w:val="24"/>
          <w:szCs w:val="24"/>
        </w:rPr>
      </w:pPr>
    </w:p>
    <w:p w14:paraId="41D80CF8" w14:textId="55E1990D" w:rsidR="00333FAA" w:rsidRPr="00C05741" w:rsidRDefault="00333FAA" w:rsidP="00C05741">
      <w:pPr>
        <w:pStyle w:val="Heading3"/>
        <w:rPr>
          <w:color w:val="FF0000"/>
          <w:sz w:val="24"/>
          <w:szCs w:val="24"/>
        </w:rPr>
      </w:pPr>
      <w:r w:rsidRPr="00C05741">
        <w:rPr>
          <w:sz w:val="24"/>
          <w:szCs w:val="24"/>
        </w:rPr>
        <w:t>Equalities implications</w:t>
      </w:r>
      <w:r w:rsidR="001C7E35" w:rsidRPr="00C05741">
        <w:rPr>
          <w:sz w:val="24"/>
          <w:szCs w:val="24"/>
        </w:rPr>
        <w:t xml:space="preserve"> </w:t>
      </w:r>
      <w:r w:rsidRPr="00C05741">
        <w:rPr>
          <w:sz w:val="24"/>
          <w:szCs w:val="24"/>
        </w:rPr>
        <w:t>/</w:t>
      </w:r>
      <w:r w:rsidR="001C7E35" w:rsidRPr="00C05741">
        <w:rPr>
          <w:sz w:val="24"/>
          <w:szCs w:val="24"/>
        </w:rPr>
        <w:t xml:space="preserve"> </w:t>
      </w:r>
      <w:r w:rsidRPr="00C05741">
        <w:rPr>
          <w:sz w:val="24"/>
          <w:szCs w:val="24"/>
        </w:rPr>
        <w:t>Public Sector Equality Duty</w:t>
      </w:r>
    </w:p>
    <w:p w14:paraId="62976A0E" w14:textId="77777777" w:rsidR="00C05741" w:rsidRDefault="00C05741" w:rsidP="576EF44A">
      <w:pPr>
        <w:rPr>
          <w:rFonts w:cs="Arial"/>
        </w:rPr>
      </w:pPr>
    </w:p>
    <w:p w14:paraId="132244E9" w14:textId="66CFAAAA" w:rsidR="00FE17E2" w:rsidRDefault="003E1745" w:rsidP="576EF44A">
      <w:pPr>
        <w:rPr>
          <w:rStyle w:val="eop"/>
          <w:color w:val="0000FF"/>
          <w:szCs w:val="24"/>
        </w:rPr>
      </w:pPr>
      <w:r>
        <w:rPr>
          <w:rFonts w:cs="Arial"/>
        </w:rPr>
        <w:t>A</w:t>
      </w:r>
      <w:r w:rsidR="00C05741">
        <w:rPr>
          <w:rFonts w:cs="Arial"/>
        </w:rPr>
        <w:t>n</w:t>
      </w:r>
      <w:r>
        <w:rPr>
          <w:rFonts w:cs="Arial"/>
        </w:rPr>
        <w:t xml:space="preserve"> Equalities Impact Assessment was </w:t>
      </w:r>
      <w:r w:rsidR="00BC2855">
        <w:rPr>
          <w:rFonts w:cs="Arial"/>
        </w:rPr>
        <w:t>completed,</w:t>
      </w:r>
      <w:r w:rsidR="00277DD9">
        <w:rPr>
          <w:rFonts w:cs="Arial"/>
        </w:rPr>
        <w:t xml:space="preserve"> and the outcome was positive</w:t>
      </w:r>
      <w:r w:rsidR="00BC3236">
        <w:rPr>
          <w:rFonts w:cs="Arial"/>
        </w:rPr>
        <w:t xml:space="preserve">. </w:t>
      </w:r>
    </w:p>
    <w:p w14:paraId="5987AE73" w14:textId="77777777" w:rsidR="00C05741" w:rsidRDefault="00C05741" w:rsidP="00C05741">
      <w:pPr>
        <w:pStyle w:val="Heading3"/>
        <w:ind w:left="0" w:firstLine="0"/>
        <w:rPr>
          <w:sz w:val="24"/>
          <w:szCs w:val="24"/>
        </w:rPr>
      </w:pPr>
    </w:p>
    <w:p w14:paraId="0E9ED8C5" w14:textId="3F0FBB0D" w:rsidR="00333FAA" w:rsidRPr="00C05741" w:rsidRDefault="00333FAA" w:rsidP="00C05741">
      <w:pPr>
        <w:pStyle w:val="Heading3"/>
        <w:ind w:left="0" w:firstLine="0"/>
        <w:rPr>
          <w:rFonts w:eastAsia="Arial"/>
          <w:b w:val="0"/>
          <w:bCs w:val="0"/>
          <w:color w:val="0000FF"/>
          <w:sz w:val="24"/>
          <w:szCs w:val="24"/>
        </w:rPr>
      </w:pPr>
      <w:r w:rsidRPr="00C05741">
        <w:rPr>
          <w:sz w:val="24"/>
          <w:szCs w:val="24"/>
        </w:rPr>
        <w:t>Council Priorities</w:t>
      </w:r>
    </w:p>
    <w:p w14:paraId="352DBE12" w14:textId="77777777" w:rsidR="00C05741" w:rsidRDefault="00C05741" w:rsidP="00AF09B7">
      <w:pPr>
        <w:autoSpaceDE w:val="0"/>
        <w:autoSpaceDN w:val="0"/>
      </w:pPr>
    </w:p>
    <w:p w14:paraId="385D5DA1" w14:textId="77777777" w:rsidR="00EB0B2C" w:rsidRDefault="00AF09B7" w:rsidP="00AF09B7">
      <w:pPr>
        <w:autoSpaceDE w:val="0"/>
        <w:autoSpaceDN w:val="0"/>
      </w:pPr>
      <w:r w:rsidRPr="00B97936">
        <w:t>The</w:t>
      </w:r>
      <w:r>
        <w:t xml:space="preserve"> Council’s leadership has made a strong commitment to promoting a fairer future for all residents</w:t>
      </w:r>
      <w:r w:rsidR="004F0CDE">
        <w:t xml:space="preserve"> in the Borough Plan</w:t>
      </w:r>
      <w:r>
        <w:t>. Through implementing the recommendations set out in this report, the Council will be able to further deliver against the priorities of tackling poverty and inequality; addressing health and social care inequality and building a strong local economy.</w:t>
      </w:r>
    </w:p>
    <w:p w14:paraId="2602250F" w14:textId="77777777" w:rsidR="00D07F46" w:rsidRPr="00EB0B2C" w:rsidRDefault="00D0381E" w:rsidP="00A52892">
      <w:pPr>
        <w:pStyle w:val="ListParagraph"/>
        <w:numPr>
          <w:ilvl w:val="0"/>
          <w:numId w:val="5"/>
        </w:numPr>
        <w:autoSpaceDE w:val="0"/>
        <w:autoSpaceDN w:val="0"/>
        <w:spacing w:before="240"/>
        <w:rPr>
          <w:bCs/>
        </w:rPr>
      </w:pPr>
      <w:r w:rsidRPr="00EB0B2C">
        <w:rPr>
          <w:bCs/>
        </w:rPr>
        <w:t>Improving the environment and addressing climate change</w:t>
      </w:r>
    </w:p>
    <w:p w14:paraId="3B546FEA" w14:textId="19D6B1CF" w:rsidR="00D07F46" w:rsidRPr="00EB0B2C" w:rsidRDefault="00D0381E" w:rsidP="00A52892">
      <w:pPr>
        <w:pStyle w:val="ListParagraph"/>
        <w:numPr>
          <w:ilvl w:val="0"/>
          <w:numId w:val="5"/>
        </w:numPr>
        <w:autoSpaceDE w:val="0"/>
        <w:autoSpaceDN w:val="0"/>
        <w:spacing w:before="240"/>
        <w:rPr>
          <w:bCs/>
        </w:rPr>
      </w:pPr>
      <w:r w:rsidRPr="00EB0B2C">
        <w:rPr>
          <w:bCs/>
        </w:rPr>
        <w:t>Tackling poverty and inequality</w:t>
      </w:r>
    </w:p>
    <w:p w14:paraId="31563814" w14:textId="7D731D27" w:rsidR="00D07F46" w:rsidRPr="00EB0B2C" w:rsidRDefault="00D0381E" w:rsidP="00A52892">
      <w:pPr>
        <w:pStyle w:val="ListParagraph"/>
        <w:numPr>
          <w:ilvl w:val="0"/>
          <w:numId w:val="5"/>
        </w:numPr>
        <w:autoSpaceDE w:val="0"/>
        <w:autoSpaceDN w:val="0"/>
        <w:spacing w:before="240"/>
        <w:rPr>
          <w:bCs/>
        </w:rPr>
      </w:pPr>
      <w:r w:rsidRPr="00EB0B2C">
        <w:rPr>
          <w:bCs/>
        </w:rPr>
        <w:t>Building homes and infrastructure</w:t>
      </w:r>
    </w:p>
    <w:p w14:paraId="53B22976" w14:textId="77777777" w:rsidR="00D07F46" w:rsidRPr="00EB0B2C" w:rsidRDefault="00D0381E" w:rsidP="00A52892">
      <w:pPr>
        <w:pStyle w:val="ListParagraph"/>
        <w:numPr>
          <w:ilvl w:val="0"/>
          <w:numId w:val="5"/>
        </w:numPr>
        <w:autoSpaceDE w:val="0"/>
        <w:autoSpaceDN w:val="0"/>
        <w:spacing w:before="240"/>
        <w:rPr>
          <w:bCs/>
        </w:rPr>
      </w:pPr>
      <w:r w:rsidRPr="00EB0B2C">
        <w:rPr>
          <w:bCs/>
        </w:rPr>
        <w:t>Addressing health and social care inequality</w:t>
      </w:r>
    </w:p>
    <w:p w14:paraId="74ED77AB" w14:textId="77777777" w:rsidR="00307F76" w:rsidRPr="00EB0B2C" w:rsidRDefault="00D0381E" w:rsidP="00A52892">
      <w:pPr>
        <w:pStyle w:val="ListParagraph"/>
        <w:numPr>
          <w:ilvl w:val="0"/>
          <w:numId w:val="5"/>
        </w:numPr>
        <w:autoSpaceDE w:val="0"/>
        <w:autoSpaceDN w:val="0"/>
        <w:spacing w:before="240"/>
        <w:rPr>
          <w:bCs/>
        </w:rPr>
      </w:pPr>
      <w:r w:rsidRPr="00EB0B2C">
        <w:rPr>
          <w:bCs/>
        </w:rPr>
        <w:t>Thriving economy</w:t>
      </w:r>
    </w:p>
    <w:p w14:paraId="72383CB0" w14:textId="77777777" w:rsidR="00D779B3" w:rsidRDefault="00F916E8" w:rsidP="000B7C66">
      <w:pPr>
        <w:pStyle w:val="Heading2"/>
        <w:spacing w:before="480" w:after="240"/>
      </w:pPr>
      <w:r>
        <w:br/>
      </w:r>
    </w:p>
    <w:p w14:paraId="3056842F" w14:textId="77777777" w:rsidR="00EC619F" w:rsidRDefault="00EC619F" w:rsidP="000B7C66">
      <w:pPr>
        <w:pStyle w:val="Heading2"/>
        <w:spacing w:before="480" w:after="240"/>
      </w:pPr>
      <w:r>
        <w:br/>
      </w:r>
    </w:p>
    <w:p w14:paraId="329B1217" w14:textId="77777777" w:rsidR="00EC619F" w:rsidRDefault="00EC619F">
      <w:pPr>
        <w:rPr>
          <w:rFonts w:ascii="Arial Black" w:hAnsi="Arial Black" w:cs="Arial"/>
          <w:b/>
          <w:bCs/>
          <w:sz w:val="32"/>
          <w:szCs w:val="32"/>
        </w:rPr>
      </w:pPr>
      <w:r>
        <w:br w:type="page"/>
      </w:r>
    </w:p>
    <w:p w14:paraId="5514D939" w14:textId="0219CB5B" w:rsidR="00333FAA" w:rsidRPr="005014ED" w:rsidRDefault="00A64542" w:rsidP="000B7C66">
      <w:pPr>
        <w:pStyle w:val="Heading2"/>
        <w:spacing w:before="480" w:after="240"/>
        <w:rPr>
          <w:sz w:val="28"/>
          <w:szCs w:val="28"/>
        </w:rPr>
      </w:pPr>
      <w:r w:rsidRPr="005014ED">
        <w:rPr>
          <w:sz w:val="28"/>
          <w:szCs w:val="28"/>
        </w:rPr>
        <w:lastRenderedPageBreak/>
        <w:t>S</w:t>
      </w:r>
      <w:r w:rsidR="00333FAA" w:rsidRPr="005014ED">
        <w:rPr>
          <w:sz w:val="28"/>
          <w:szCs w:val="28"/>
        </w:rPr>
        <w:t>ection 3 - Statutory Officer Clearance</w:t>
      </w:r>
    </w:p>
    <w:p w14:paraId="3B5D52F9" w14:textId="77777777" w:rsidR="00A66326" w:rsidRPr="00A66326" w:rsidRDefault="00A66326" w:rsidP="00A66326">
      <w:pPr>
        <w:rPr>
          <w:sz w:val="28"/>
        </w:rPr>
      </w:pPr>
      <w:r w:rsidRPr="00A66326">
        <w:rPr>
          <w:b/>
          <w:sz w:val="28"/>
        </w:rPr>
        <w:t xml:space="preserve">Statutory Officer:  </w:t>
      </w:r>
    </w:p>
    <w:p w14:paraId="06450070" w14:textId="36A0C282" w:rsidR="00A66326" w:rsidRPr="00387A9B" w:rsidRDefault="00A66326" w:rsidP="00A66326">
      <w:pPr>
        <w:rPr>
          <w:szCs w:val="24"/>
        </w:rPr>
      </w:pPr>
      <w:r w:rsidRPr="00387A9B">
        <w:rPr>
          <w:szCs w:val="24"/>
        </w:rPr>
        <w:t>Signed by the Chief Financial Officer</w:t>
      </w:r>
    </w:p>
    <w:p w14:paraId="0C25A81A" w14:textId="60862685" w:rsidR="00387A9B" w:rsidRPr="00387A9B" w:rsidRDefault="00387A9B" w:rsidP="00A66326">
      <w:pPr>
        <w:rPr>
          <w:szCs w:val="24"/>
        </w:rPr>
      </w:pPr>
      <w:r w:rsidRPr="00387A9B">
        <w:rPr>
          <w:szCs w:val="24"/>
        </w:rPr>
        <w:t>Dawn Calvert</w:t>
      </w:r>
    </w:p>
    <w:p w14:paraId="0B407316" w14:textId="3D1E7AC6" w:rsidR="00266166" w:rsidRPr="00387A9B" w:rsidRDefault="00266166" w:rsidP="00A66326">
      <w:pPr>
        <w:rPr>
          <w:szCs w:val="24"/>
        </w:rPr>
      </w:pPr>
      <w:r w:rsidRPr="00387A9B">
        <w:rPr>
          <w:szCs w:val="24"/>
        </w:rPr>
        <w:t>Date:</w:t>
      </w:r>
      <w:r w:rsidR="00387A9B">
        <w:rPr>
          <w:szCs w:val="24"/>
        </w:rPr>
        <w:t xml:space="preserve"> </w:t>
      </w:r>
      <w:r w:rsidR="003E1DC8">
        <w:rPr>
          <w:szCs w:val="24"/>
        </w:rPr>
        <w:t>24</w:t>
      </w:r>
      <w:r w:rsidR="00387A9B">
        <w:rPr>
          <w:szCs w:val="24"/>
        </w:rPr>
        <w:t xml:space="preserve"> November 2021</w:t>
      </w:r>
    </w:p>
    <w:p w14:paraId="342BCF0B" w14:textId="77777777" w:rsidR="00266166" w:rsidRDefault="00266166" w:rsidP="00A66326">
      <w:pPr>
        <w:rPr>
          <w:b/>
          <w:sz w:val="28"/>
        </w:rPr>
      </w:pPr>
    </w:p>
    <w:p w14:paraId="7E329E85" w14:textId="3545070A" w:rsidR="00A66326" w:rsidRPr="00A66326" w:rsidRDefault="00A66326" w:rsidP="00A66326">
      <w:pPr>
        <w:rPr>
          <w:sz w:val="28"/>
        </w:rPr>
      </w:pPr>
      <w:r w:rsidRPr="00A66326">
        <w:rPr>
          <w:b/>
          <w:sz w:val="28"/>
        </w:rPr>
        <w:t xml:space="preserve">Statutory Officer:  </w:t>
      </w:r>
    </w:p>
    <w:p w14:paraId="76F84634" w14:textId="2316379C" w:rsidR="00A66326" w:rsidRPr="00A66326" w:rsidRDefault="00A66326" w:rsidP="00A66326">
      <w:r w:rsidRPr="00A66326">
        <w:t>Signed on behalf of the Monitoring Officer</w:t>
      </w:r>
    </w:p>
    <w:p w14:paraId="42045885" w14:textId="77777777" w:rsidR="00266166" w:rsidRPr="0078448D" w:rsidRDefault="00266166" w:rsidP="00266166">
      <w:pPr>
        <w:rPr>
          <w:szCs w:val="24"/>
        </w:rPr>
      </w:pPr>
      <w:r w:rsidRPr="0078448D">
        <w:rPr>
          <w:szCs w:val="24"/>
        </w:rPr>
        <w:t>Stephen Dorrian</w:t>
      </w:r>
    </w:p>
    <w:p w14:paraId="3BC4CA92" w14:textId="47E122C2" w:rsidR="00266166" w:rsidRPr="0078448D" w:rsidRDefault="00266166" w:rsidP="00266166">
      <w:pPr>
        <w:spacing w:after="480"/>
        <w:rPr>
          <w:szCs w:val="24"/>
        </w:rPr>
      </w:pPr>
      <w:r w:rsidRPr="0078448D">
        <w:rPr>
          <w:szCs w:val="24"/>
        </w:rPr>
        <w:t>Date: 2</w:t>
      </w:r>
      <w:r w:rsidR="00D70522">
        <w:rPr>
          <w:szCs w:val="24"/>
        </w:rPr>
        <w:t>3</w:t>
      </w:r>
      <w:r w:rsidRPr="0078448D">
        <w:rPr>
          <w:szCs w:val="24"/>
        </w:rPr>
        <w:t xml:space="preserve"> November 2021  </w:t>
      </w:r>
    </w:p>
    <w:p w14:paraId="31D8FA55" w14:textId="79536F0C" w:rsidR="00BF5AFA" w:rsidRPr="00A66326" w:rsidRDefault="00BF5AFA" w:rsidP="00BF5AFA">
      <w:pPr>
        <w:rPr>
          <w:sz w:val="28"/>
        </w:rPr>
      </w:pPr>
      <w:r>
        <w:rPr>
          <w:b/>
          <w:sz w:val="28"/>
        </w:rPr>
        <w:t>Chief</w:t>
      </w:r>
      <w:r w:rsidRPr="00A66326">
        <w:rPr>
          <w:b/>
          <w:sz w:val="28"/>
        </w:rPr>
        <w:t xml:space="preserve"> Officer:  </w:t>
      </w:r>
    </w:p>
    <w:p w14:paraId="6C086558" w14:textId="6DDEDC59" w:rsidR="00BF5AFA" w:rsidRPr="00E72518" w:rsidRDefault="00BF5AFA" w:rsidP="00BF5AFA">
      <w:pPr>
        <w:rPr>
          <w:szCs w:val="24"/>
        </w:rPr>
      </w:pPr>
      <w:r w:rsidRPr="00E72518">
        <w:rPr>
          <w:szCs w:val="24"/>
        </w:rPr>
        <w:t>Signed off by the Corporate Director</w:t>
      </w:r>
    </w:p>
    <w:p w14:paraId="34A60057" w14:textId="4D553DE3" w:rsidR="00BF5AFA" w:rsidRPr="00E72518" w:rsidRDefault="00E72518" w:rsidP="00BF5AFA">
      <w:pPr>
        <w:rPr>
          <w:szCs w:val="24"/>
        </w:rPr>
      </w:pPr>
      <w:r w:rsidRPr="00E72518">
        <w:rPr>
          <w:szCs w:val="24"/>
        </w:rPr>
        <w:t>Charlie Stewart</w:t>
      </w:r>
    </w:p>
    <w:p w14:paraId="5F67CDF0" w14:textId="3436DA3F" w:rsidR="00BF5AFA" w:rsidRPr="00E72518" w:rsidRDefault="00BF5AFA" w:rsidP="00BF5AFA">
      <w:pPr>
        <w:spacing w:after="480"/>
        <w:rPr>
          <w:szCs w:val="24"/>
        </w:rPr>
      </w:pPr>
      <w:r w:rsidRPr="00E72518">
        <w:rPr>
          <w:szCs w:val="24"/>
        </w:rPr>
        <w:t xml:space="preserve">Date: </w:t>
      </w:r>
      <w:r w:rsidR="004870C2" w:rsidRPr="00E72518">
        <w:rPr>
          <w:szCs w:val="24"/>
        </w:rPr>
        <w:t>2</w:t>
      </w:r>
      <w:r w:rsidR="00D70522">
        <w:rPr>
          <w:szCs w:val="24"/>
        </w:rPr>
        <w:t>3</w:t>
      </w:r>
      <w:r w:rsidRPr="00E72518">
        <w:rPr>
          <w:szCs w:val="24"/>
        </w:rPr>
        <w:t xml:space="preserve"> </w:t>
      </w:r>
      <w:r w:rsidR="004870C2" w:rsidRPr="00E72518">
        <w:rPr>
          <w:szCs w:val="24"/>
        </w:rPr>
        <w:t>November 2021</w:t>
      </w:r>
    </w:p>
    <w:p w14:paraId="2C546334" w14:textId="3A75812F" w:rsidR="00BF5AFA" w:rsidRPr="00A66326" w:rsidRDefault="00BF5AFA" w:rsidP="00BF5AFA">
      <w:pPr>
        <w:rPr>
          <w:sz w:val="28"/>
        </w:rPr>
      </w:pPr>
      <w:r>
        <w:rPr>
          <w:b/>
          <w:sz w:val="28"/>
        </w:rPr>
        <w:t>Head of Procurement</w:t>
      </w:r>
      <w:r w:rsidRPr="00A66326">
        <w:rPr>
          <w:b/>
          <w:sz w:val="28"/>
        </w:rPr>
        <w:t xml:space="preserve">:  </w:t>
      </w:r>
    </w:p>
    <w:p w14:paraId="3C6E94C3" w14:textId="5D05192B" w:rsidR="00BF5AFA" w:rsidRPr="00D70522" w:rsidRDefault="00BF5AFA" w:rsidP="00BF5AFA">
      <w:pPr>
        <w:rPr>
          <w:szCs w:val="24"/>
        </w:rPr>
      </w:pPr>
      <w:r w:rsidRPr="00D70522">
        <w:rPr>
          <w:szCs w:val="24"/>
        </w:rPr>
        <w:t>Signed by the Head of Procurement</w:t>
      </w:r>
    </w:p>
    <w:p w14:paraId="399669DE" w14:textId="1FBDECBD" w:rsidR="00BF5AFA" w:rsidRPr="00D70522" w:rsidRDefault="00D70522" w:rsidP="00BF5AFA">
      <w:pPr>
        <w:rPr>
          <w:szCs w:val="24"/>
        </w:rPr>
      </w:pPr>
      <w:r w:rsidRPr="00D70522">
        <w:rPr>
          <w:szCs w:val="24"/>
        </w:rPr>
        <w:t>Nimesh Mehta</w:t>
      </w:r>
    </w:p>
    <w:p w14:paraId="5A683B65" w14:textId="7B40F17A" w:rsidR="00BF5AFA" w:rsidRPr="00D70522" w:rsidRDefault="00BF5AFA" w:rsidP="00BF5AFA">
      <w:pPr>
        <w:spacing w:after="480"/>
        <w:rPr>
          <w:szCs w:val="24"/>
        </w:rPr>
      </w:pPr>
      <w:r w:rsidRPr="00D70522">
        <w:rPr>
          <w:szCs w:val="24"/>
        </w:rPr>
        <w:t>Date:</w:t>
      </w:r>
      <w:r w:rsidR="00D70522" w:rsidRPr="00D70522">
        <w:rPr>
          <w:szCs w:val="24"/>
        </w:rPr>
        <w:t xml:space="preserve"> 23 November 2021</w:t>
      </w:r>
    </w:p>
    <w:p w14:paraId="113297A5" w14:textId="2E5DC17C" w:rsidR="00BF5AFA" w:rsidRPr="00A66326" w:rsidRDefault="00BF5AFA" w:rsidP="00BF5AFA">
      <w:pPr>
        <w:rPr>
          <w:sz w:val="28"/>
        </w:rPr>
      </w:pPr>
      <w:r>
        <w:rPr>
          <w:b/>
          <w:sz w:val="28"/>
        </w:rPr>
        <w:t>Head of Internal Audit</w:t>
      </w:r>
      <w:r w:rsidRPr="00A66326">
        <w:rPr>
          <w:b/>
          <w:sz w:val="28"/>
        </w:rPr>
        <w:t xml:space="preserve">:  </w:t>
      </w:r>
    </w:p>
    <w:p w14:paraId="5CF04A24" w14:textId="4F1ACC00" w:rsidR="00BF5AFA" w:rsidRPr="005A507F" w:rsidRDefault="00BF5AFA" w:rsidP="00BF5AFA">
      <w:pPr>
        <w:rPr>
          <w:szCs w:val="24"/>
        </w:rPr>
      </w:pPr>
      <w:r w:rsidRPr="005A507F">
        <w:rPr>
          <w:szCs w:val="24"/>
        </w:rPr>
        <w:t>Signed by the Head of Internal Audit</w:t>
      </w:r>
    </w:p>
    <w:p w14:paraId="3B1CEB5F" w14:textId="474BB540" w:rsidR="00BF5AFA" w:rsidRPr="005A507F" w:rsidRDefault="005A507F" w:rsidP="00BF5AFA">
      <w:pPr>
        <w:rPr>
          <w:szCs w:val="24"/>
        </w:rPr>
      </w:pPr>
      <w:r w:rsidRPr="005A507F">
        <w:rPr>
          <w:szCs w:val="24"/>
        </w:rPr>
        <w:t>Susan Dixon</w:t>
      </w:r>
    </w:p>
    <w:p w14:paraId="065BF29C" w14:textId="1506E5E2" w:rsidR="00BF5AFA" w:rsidRPr="005A507F" w:rsidRDefault="00BF5AFA" w:rsidP="00187CCF">
      <w:pPr>
        <w:spacing w:after="480"/>
        <w:rPr>
          <w:szCs w:val="24"/>
        </w:rPr>
      </w:pPr>
      <w:r w:rsidRPr="005A507F">
        <w:rPr>
          <w:szCs w:val="24"/>
        </w:rPr>
        <w:t>Date:</w:t>
      </w:r>
      <w:r w:rsidR="005A507F" w:rsidRPr="005A507F">
        <w:rPr>
          <w:szCs w:val="24"/>
        </w:rPr>
        <w:t xml:space="preserve"> </w:t>
      </w:r>
      <w:r w:rsidR="00005E02">
        <w:rPr>
          <w:szCs w:val="24"/>
        </w:rPr>
        <w:t>24</w:t>
      </w:r>
      <w:r w:rsidR="005A507F" w:rsidRPr="005A507F">
        <w:rPr>
          <w:szCs w:val="24"/>
        </w:rPr>
        <w:t xml:space="preserve"> November 2021</w:t>
      </w:r>
    </w:p>
    <w:p w14:paraId="45A19EC7" w14:textId="057F1AE3" w:rsidR="003313EA" w:rsidRPr="00EB7249" w:rsidRDefault="003313EA" w:rsidP="00BF5AFA">
      <w:pPr>
        <w:pStyle w:val="Heading2"/>
        <w:spacing w:before="480" w:after="240"/>
        <w:rPr>
          <w:sz w:val="28"/>
          <w:szCs w:val="28"/>
        </w:rPr>
      </w:pPr>
      <w:r w:rsidRPr="00EB7249">
        <w:rPr>
          <w:sz w:val="28"/>
          <w:szCs w:val="28"/>
        </w:rPr>
        <w:t>Mandatory Checks</w:t>
      </w:r>
    </w:p>
    <w:p w14:paraId="64551188" w14:textId="715A97C4" w:rsidR="003313EA" w:rsidRPr="00EB7249" w:rsidRDefault="003313EA" w:rsidP="003313EA">
      <w:pPr>
        <w:pStyle w:val="Heading3"/>
        <w:ind w:left="0" w:firstLine="0"/>
        <w:jc w:val="left"/>
        <w:rPr>
          <w:sz w:val="24"/>
          <w:szCs w:val="24"/>
        </w:rPr>
      </w:pPr>
      <w:r w:rsidRPr="00EB7249">
        <w:rPr>
          <w:sz w:val="24"/>
          <w:szCs w:val="24"/>
        </w:rPr>
        <w:t xml:space="preserve">Ward Councillors notified:  NO, as it impacts on all Wards </w:t>
      </w:r>
    </w:p>
    <w:p w14:paraId="7A25F604" w14:textId="77777777" w:rsidR="00B94D16" w:rsidRPr="00EB7249" w:rsidRDefault="00B94D16" w:rsidP="00B94D16">
      <w:pPr>
        <w:pStyle w:val="Heading3"/>
        <w:ind w:left="0" w:firstLine="0"/>
        <w:rPr>
          <w:sz w:val="24"/>
          <w:szCs w:val="24"/>
        </w:rPr>
      </w:pPr>
    </w:p>
    <w:p w14:paraId="2A2D9472" w14:textId="159116D7" w:rsidR="003313EA" w:rsidRPr="00EB7249" w:rsidRDefault="003313EA" w:rsidP="00B94D16">
      <w:pPr>
        <w:pStyle w:val="Heading3"/>
        <w:ind w:left="0" w:firstLine="0"/>
        <w:rPr>
          <w:b w:val="0"/>
          <w:sz w:val="24"/>
          <w:szCs w:val="24"/>
        </w:rPr>
      </w:pPr>
      <w:proofErr w:type="spellStart"/>
      <w:r w:rsidRPr="00EB7249">
        <w:rPr>
          <w:sz w:val="24"/>
          <w:szCs w:val="24"/>
        </w:rPr>
        <w:t>EqIA</w:t>
      </w:r>
      <w:proofErr w:type="spellEnd"/>
      <w:r w:rsidRPr="00EB7249">
        <w:rPr>
          <w:sz w:val="24"/>
          <w:szCs w:val="24"/>
        </w:rPr>
        <w:t xml:space="preserve"> carried out:  YES</w:t>
      </w:r>
    </w:p>
    <w:p w14:paraId="7FC72A24" w14:textId="59906483" w:rsidR="005367B7" w:rsidRPr="00EB7249" w:rsidRDefault="003313EA" w:rsidP="00B94D16">
      <w:pPr>
        <w:pStyle w:val="Infotext"/>
        <w:rPr>
          <w:i/>
          <w:color w:val="FF0000"/>
          <w:sz w:val="24"/>
          <w:szCs w:val="24"/>
        </w:rPr>
      </w:pPr>
      <w:r w:rsidRPr="00EB7249">
        <w:rPr>
          <w:i/>
          <w:color w:val="FF0000"/>
          <w:sz w:val="24"/>
          <w:szCs w:val="24"/>
        </w:rPr>
        <w:t xml:space="preserve">. </w:t>
      </w:r>
    </w:p>
    <w:p w14:paraId="41E16C55" w14:textId="21E2403D" w:rsidR="00333FAA" w:rsidRPr="00EB7249" w:rsidRDefault="00333FAA" w:rsidP="00853B4A">
      <w:pPr>
        <w:pStyle w:val="Heading2"/>
        <w:rPr>
          <w:sz w:val="24"/>
          <w:szCs w:val="24"/>
        </w:rPr>
      </w:pPr>
      <w:r w:rsidRPr="00EB7249">
        <w:rPr>
          <w:sz w:val="24"/>
          <w:szCs w:val="24"/>
        </w:rPr>
        <w:t xml:space="preserve">Section </w:t>
      </w:r>
      <w:r w:rsidR="00A20113" w:rsidRPr="00EB7249">
        <w:rPr>
          <w:sz w:val="24"/>
          <w:szCs w:val="24"/>
        </w:rPr>
        <w:t>4</w:t>
      </w:r>
      <w:r w:rsidRPr="00EB7249">
        <w:rPr>
          <w:sz w:val="24"/>
          <w:szCs w:val="24"/>
        </w:rPr>
        <w:t xml:space="preserve"> - Contact Details and Background Papers</w:t>
      </w:r>
    </w:p>
    <w:p w14:paraId="573860D2" w14:textId="77777777" w:rsidR="001B1DF2" w:rsidRPr="00EB7249" w:rsidRDefault="00333FAA" w:rsidP="00853B4A">
      <w:pPr>
        <w:pStyle w:val="Infotext"/>
        <w:rPr>
          <w:b/>
          <w:sz w:val="24"/>
          <w:szCs w:val="24"/>
        </w:rPr>
      </w:pPr>
      <w:r w:rsidRPr="00EB7249">
        <w:rPr>
          <w:b/>
          <w:sz w:val="24"/>
          <w:szCs w:val="24"/>
        </w:rPr>
        <w:t>Contact:</w:t>
      </w:r>
    </w:p>
    <w:p w14:paraId="0005C0E4" w14:textId="392B8FCC" w:rsidR="00333FAA" w:rsidRPr="00EB7249" w:rsidRDefault="00A64542" w:rsidP="00853B4A">
      <w:pPr>
        <w:pStyle w:val="Infotext"/>
        <w:rPr>
          <w:sz w:val="24"/>
          <w:szCs w:val="24"/>
        </w:rPr>
      </w:pPr>
      <w:r w:rsidRPr="00EB7249">
        <w:rPr>
          <w:bCs/>
          <w:sz w:val="24"/>
          <w:szCs w:val="24"/>
        </w:rPr>
        <w:t>Nimesh Mehta</w:t>
      </w:r>
      <w:r w:rsidRPr="00EB7249">
        <w:rPr>
          <w:color w:val="FF0000"/>
          <w:sz w:val="24"/>
          <w:szCs w:val="24"/>
        </w:rPr>
        <w:t xml:space="preserve"> </w:t>
      </w:r>
      <w:r w:rsidRPr="00EB7249">
        <w:rPr>
          <w:sz w:val="24"/>
          <w:szCs w:val="24"/>
        </w:rPr>
        <w:t>Head of Procu</w:t>
      </w:r>
      <w:r w:rsidR="00A32FAD" w:rsidRPr="00EB7249">
        <w:rPr>
          <w:sz w:val="24"/>
          <w:szCs w:val="24"/>
        </w:rPr>
        <w:t>rement</w:t>
      </w:r>
      <w:r w:rsidR="005808FB" w:rsidRPr="00EB7249">
        <w:rPr>
          <w:sz w:val="24"/>
          <w:szCs w:val="24"/>
        </w:rPr>
        <w:t xml:space="preserve">, </w:t>
      </w:r>
      <w:r w:rsidR="00A32FAD" w:rsidRPr="00EB7249">
        <w:rPr>
          <w:sz w:val="24"/>
          <w:szCs w:val="24"/>
        </w:rPr>
        <w:t>07949 054 739</w:t>
      </w:r>
      <w:r w:rsidR="00B54AFA" w:rsidRPr="00EB7249">
        <w:rPr>
          <w:sz w:val="24"/>
          <w:szCs w:val="24"/>
        </w:rPr>
        <w:t xml:space="preserve"> </w:t>
      </w:r>
      <w:r w:rsidR="00A32FAD" w:rsidRPr="00EB7249">
        <w:rPr>
          <w:sz w:val="24"/>
          <w:szCs w:val="24"/>
        </w:rPr>
        <w:t>nimesh.mehta@harrow.gov.uk</w:t>
      </w:r>
    </w:p>
    <w:p w14:paraId="77C58D4B" w14:textId="4BC45038" w:rsidR="00333FAA" w:rsidRPr="00EB7249" w:rsidRDefault="00333FAA" w:rsidP="00853B4A">
      <w:pPr>
        <w:pStyle w:val="Infotext"/>
        <w:rPr>
          <w:b/>
          <w:sz w:val="24"/>
          <w:szCs w:val="24"/>
        </w:rPr>
      </w:pPr>
      <w:r w:rsidRPr="00EB7249">
        <w:rPr>
          <w:b/>
          <w:sz w:val="24"/>
          <w:szCs w:val="24"/>
        </w:rPr>
        <w:t xml:space="preserve">Background Papers: </w:t>
      </w:r>
      <w:r w:rsidR="005808FB" w:rsidRPr="00EB7249">
        <w:rPr>
          <w:b/>
          <w:sz w:val="24"/>
          <w:szCs w:val="24"/>
        </w:rPr>
        <w:t xml:space="preserve"> </w:t>
      </w:r>
      <w:r w:rsidR="0048359E" w:rsidRPr="00EB7249">
        <w:rPr>
          <w:sz w:val="24"/>
          <w:szCs w:val="24"/>
        </w:rPr>
        <w:t>None</w:t>
      </w:r>
    </w:p>
    <w:p w14:paraId="6DB765CD" w14:textId="77777777" w:rsidR="005367B7" w:rsidRPr="00EB7249" w:rsidRDefault="005367B7" w:rsidP="00853B4A">
      <w:pPr>
        <w:pStyle w:val="Infotext"/>
        <w:rPr>
          <w:rFonts w:ascii="Arial Black" w:hAnsi="Arial Black"/>
          <w:sz w:val="24"/>
          <w:szCs w:val="24"/>
        </w:rPr>
      </w:pPr>
    </w:p>
    <w:p w14:paraId="17CDBD67" w14:textId="71262040" w:rsidR="00842757" w:rsidRPr="00AF1918" w:rsidRDefault="00842757" w:rsidP="00853B4A">
      <w:pPr>
        <w:pStyle w:val="Infotext"/>
        <w:rPr>
          <w:rFonts w:ascii="Arial Black" w:hAnsi="Arial Black"/>
          <w:sz w:val="24"/>
          <w:szCs w:val="24"/>
        </w:rPr>
      </w:pPr>
      <w:r w:rsidRPr="00EB7249">
        <w:rPr>
          <w:rFonts w:ascii="Arial Black" w:hAnsi="Arial Black"/>
          <w:sz w:val="24"/>
          <w:szCs w:val="24"/>
        </w:rPr>
        <w:t>Call-in waived by the Chair of Overview and Scrutiny Committee</w:t>
      </w:r>
      <w:r w:rsidR="00AF1918">
        <w:rPr>
          <w:rFonts w:ascii="Arial Black" w:hAnsi="Arial Black"/>
          <w:sz w:val="24"/>
          <w:szCs w:val="24"/>
        </w:rPr>
        <w:t xml:space="preserve">: </w:t>
      </w:r>
      <w:r w:rsidRPr="00EB7249">
        <w:rPr>
          <w:b/>
          <w:sz w:val="24"/>
          <w:szCs w:val="24"/>
        </w:rPr>
        <w:t xml:space="preserve">NO </w:t>
      </w:r>
    </w:p>
    <w:sectPr w:rsidR="00842757" w:rsidRPr="00AF1918"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81AF" w16cex:dateUtc="2021-11-05T10:10:00Z"/>
  <w16cex:commentExtensible w16cex:durableId="252F8C9F" w16cex:dateUtc="2021-11-05T10:57:00Z"/>
  <w16cex:commentExtensible w16cex:durableId="252F8C64" w16cex:dateUtc="2021-11-05T10:56:00Z"/>
  <w16cex:commentExtensible w16cex:durableId="252F8E01" w16cex:dateUtc="2021-11-05T11:03:00Z"/>
  <w16cex:commentExtensible w16cex:durableId="252F8FD7" w16cex:dateUtc="2021-11-05T11:11:00Z"/>
  <w16cex:commentExtensible w16cex:durableId="252F92A2" w16cex:dateUtc="2021-11-05T11:23:00Z"/>
  <w16cex:commentExtensible w16cex:durableId="252F944C" w16cex:dateUtc="2021-11-05T11:30:00Z"/>
  <w16cex:commentExtensible w16cex:durableId="252F9E96" w16cex:dateUtc="2021-11-05T12:14:00Z"/>
  <w16cex:commentExtensible w16cex:durableId="252F9EC0" w16cex:dateUtc="2021-11-05T12:14:00Z"/>
  <w16cex:commentExtensible w16cex:durableId="252FA4B2" w16cex:dateUtc="2021-11-05T12:40:00Z"/>
  <w16cex:commentExtensible w16cex:durableId="252FA4F4" w16cex:dateUtc="2021-11-05T12:41:00Z"/>
  <w16cex:commentExtensible w16cex:durableId="252FA55F" w16cex:dateUtc="2021-11-05T12:43:00Z"/>
  <w16cex:commentExtensible w16cex:durableId="252FA5C4" w16cex:dateUtc="2021-11-05T1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60F9B" w14:textId="77777777" w:rsidR="00517B3E" w:rsidRDefault="00517B3E">
      <w:r>
        <w:separator/>
      </w:r>
    </w:p>
  </w:endnote>
  <w:endnote w:type="continuationSeparator" w:id="0">
    <w:p w14:paraId="142CFC60" w14:textId="77777777" w:rsidR="00517B3E" w:rsidRDefault="0051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F61F4B" w:rsidRPr="004F56C5" w:rsidRDefault="00F61F4B"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BEF71" w14:textId="77777777" w:rsidR="00517B3E" w:rsidRDefault="00517B3E">
      <w:r>
        <w:separator/>
      </w:r>
    </w:p>
  </w:footnote>
  <w:footnote w:type="continuationSeparator" w:id="0">
    <w:p w14:paraId="544131A2" w14:textId="77777777" w:rsidR="00517B3E" w:rsidRDefault="00517B3E">
      <w:r>
        <w:continuationSeparator/>
      </w:r>
    </w:p>
  </w:footnote>
  <w:footnote w:id="1">
    <w:p w14:paraId="02205A27" w14:textId="7574FB95" w:rsidR="006873E7" w:rsidRPr="008F745A" w:rsidRDefault="006873E7" w:rsidP="006873E7">
      <w:pPr>
        <w:pStyle w:val="FootnoteText"/>
        <w:rPr>
          <w:rFonts w:ascii="Arial" w:hAnsi="Arial"/>
          <w:sz w:val="16"/>
          <w:szCs w:val="16"/>
        </w:rPr>
      </w:pPr>
      <w:r>
        <w:rPr>
          <w:rStyle w:val="FootnoteReference"/>
        </w:rPr>
        <w:footnoteRef/>
      </w:r>
      <w:r>
        <w:t xml:space="preserve"> </w:t>
      </w:r>
      <w:r w:rsidRPr="008F745A">
        <w:rPr>
          <w:rFonts w:ascii="Arial" w:hAnsi="Arial"/>
          <w:sz w:val="16"/>
          <w:szCs w:val="16"/>
        </w:rPr>
        <w:t xml:space="preserve">Real Living Wage </w:t>
      </w:r>
      <w:r>
        <w:rPr>
          <w:rFonts w:ascii="Arial" w:hAnsi="Arial"/>
          <w:sz w:val="16"/>
          <w:szCs w:val="16"/>
        </w:rPr>
        <w:t xml:space="preserve">is </w:t>
      </w:r>
      <w:r w:rsidRPr="008F745A">
        <w:rPr>
          <w:rFonts w:ascii="Arial" w:hAnsi="Arial"/>
          <w:sz w:val="16"/>
          <w:szCs w:val="16"/>
        </w:rPr>
        <w:t>currently £10.85 in London (more widely known as the London Living Wage) and £9.50 across the U</w:t>
      </w:r>
      <w:r>
        <w:rPr>
          <w:rFonts w:ascii="Arial" w:hAnsi="Arial"/>
          <w:sz w:val="16"/>
          <w:szCs w:val="16"/>
        </w:rPr>
        <w:t xml:space="preserve">nited </w:t>
      </w:r>
      <w:r w:rsidRPr="008F745A">
        <w:rPr>
          <w:rFonts w:ascii="Arial" w:hAnsi="Arial"/>
          <w:sz w:val="16"/>
          <w:szCs w:val="16"/>
        </w:rPr>
        <w:t>K</w:t>
      </w:r>
      <w:r>
        <w:rPr>
          <w:rFonts w:ascii="Arial" w:hAnsi="Arial"/>
          <w:sz w:val="16"/>
          <w:szCs w:val="16"/>
        </w:rPr>
        <w:t>ingdom</w:t>
      </w:r>
      <w:r w:rsidRPr="008F745A">
        <w:rPr>
          <w:rFonts w:ascii="Arial" w:hAnsi="Arial"/>
          <w:sz w:val="16"/>
          <w:szCs w:val="16"/>
        </w:rPr>
        <w:t>.</w:t>
      </w:r>
      <w:r>
        <w:rPr>
          <w:rFonts w:ascii="Arial" w:hAnsi="Arial"/>
          <w:sz w:val="16"/>
          <w:szCs w:val="16"/>
        </w:rPr>
        <w:t xml:space="preserve"> In November 2021 the new rates</w:t>
      </w:r>
      <w:r w:rsidR="00877E50">
        <w:rPr>
          <w:rFonts w:ascii="Arial" w:hAnsi="Arial"/>
          <w:sz w:val="16"/>
          <w:szCs w:val="16"/>
        </w:rPr>
        <w:t xml:space="preserve"> </w:t>
      </w:r>
      <w:r>
        <w:rPr>
          <w:rFonts w:ascii="Arial" w:hAnsi="Arial"/>
          <w:sz w:val="16"/>
          <w:szCs w:val="16"/>
        </w:rPr>
        <w:t>of £11.05 for London and £9.90 for the rest of the UK were announced.</w:t>
      </w:r>
      <w:r w:rsidR="005E69CE">
        <w:rPr>
          <w:rFonts w:ascii="Arial" w:hAnsi="Arial"/>
          <w:sz w:val="16"/>
          <w:szCs w:val="16"/>
        </w:rPr>
        <w:t xml:space="preserve"> These must be paid</w:t>
      </w:r>
      <w:r w:rsidR="000D665D">
        <w:rPr>
          <w:rFonts w:ascii="Arial" w:hAnsi="Arial"/>
          <w:sz w:val="16"/>
          <w:szCs w:val="16"/>
        </w:rPr>
        <w:t xml:space="preserve"> from April 2022.</w:t>
      </w:r>
      <w:r w:rsidR="005E69CE">
        <w:rPr>
          <w:rFonts w:ascii="Arial" w:hAnsi="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F61F4B" w:rsidRDefault="00F61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F61F4B" w:rsidRDefault="00F61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0003"/>
    <w:multiLevelType w:val="hybridMultilevel"/>
    <w:tmpl w:val="1CC2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C0185"/>
    <w:multiLevelType w:val="hybridMultilevel"/>
    <w:tmpl w:val="E1760C9E"/>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F6583"/>
    <w:multiLevelType w:val="hybridMultilevel"/>
    <w:tmpl w:val="8DD22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AB22FD"/>
    <w:multiLevelType w:val="hybridMultilevel"/>
    <w:tmpl w:val="E9E47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F17697"/>
    <w:multiLevelType w:val="hybridMultilevel"/>
    <w:tmpl w:val="A0462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77828"/>
    <w:multiLevelType w:val="hybridMultilevel"/>
    <w:tmpl w:val="E6AE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C04C3"/>
    <w:multiLevelType w:val="hybridMultilevel"/>
    <w:tmpl w:val="8C6EF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311F14"/>
    <w:multiLevelType w:val="hybridMultilevel"/>
    <w:tmpl w:val="F258D7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3C16597"/>
    <w:multiLevelType w:val="hybridMultilevel"/>
    <w:tmpl w:val="249E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F64DB"/>
    <w:multiLevelType w:val="multilevel"/>
    <w:tmpl w:val="FCC6C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DB00A3"/>
    <w:multiLevelType w:val="hybridMultilevel"/>
    <w:tmpl w:val="4462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F7F51"/>
    <w:multiLevelType w:val="hybridMultilevel"/>
    <w:tmpl w:val="166C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31F52"/>
    <w:multiLevelType w:val="hybridMultilevel"/>
    <w:tmpl w:val="829E8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44584"/>
    <w:multiLevelType w:val="hybridMultilevel"/>
    <w:tmpl w:val="16540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0163C7"/>
    <w:multiLevelType w:val="multilevel"/>
    <w:tmpl w:val="174C3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111F9F"/>
    <w:multiLevelType w:val="hybridMultilevel"/>
    <w:tmpl w:val="9878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426AD5"/>
    <w:multiLevelType w:val="hybridMultilevel"/>
    <w:tmpl w:val="A18E3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E0E25DA"/>
    <w:multiLevelType w:val="hybridMultilevel"/>
    <w:tmpl w:val="B9D49D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8"/>
  </w:num>
  <w:num w:numId="5">
    <w:abstractNumId w:val="1"/>
  </w:num>
  <w:num w:numId="6">
    <w:abstractNumId w:val="12"/>
  </w:num>
  <w:num w:numId="7">
    <w:abstractNumId w:val="10"/>
  </w:num>
  <w:num w:numId="8">
    <w:abstractNumId w:val="23"/>
  </w:num>
  <w:num w:numId="9">
    <w:abstractNumId w:val="2"/>
  </w:num>
  <w:num w:numId="10">
    <w:abstractNumId w:val="7"/>
  </w:num>
  <w:num w:numId="11">
    <w:abstractNumId w:val="17"/>
  </w:num>
  <w:num w:numId="12">
    <w:abstractNumId w:val="6"/>
  </w:num>
  <w:num w:numId="13">
    <w:abstractNumId w:val="21"/>
  </w:num>
  <w:num w:numId="14">
    <w:abstractNumId w:val="19"/>
  </w:num>
  <w:num w:numId="15">
    <w:abstractNumId w:val="22"/>
  </w:num>
  <w:num w:numId="16">
    <w:abstractNumId w:val="5"/>
  </w:num>
  <w:num w:numId="17">
    <w:abstractNumId w:val="20"/>
  </w:num>
  <w:num w:numId="18">
    <w:abstractNumId w:val="14"/>
  </w:num>
  <w:num w:numId="19">
    <w:abstractNumId w:val="11"/>
  </w:num>
  <w:num w:numId="20">
    <w:abstractNumId w:val="13"/>
  </w:num>
  <w:num w:numId="21">
    <w:abstractNumId w:val="16"/>
  </w:num>
  <w:num w:numId="22">
    <w:abstractNumId w:val="9"/>
  </w:num>
  <w:num w:numId="23">
    <w:abstractNumId w:val="0"/>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2D4"/>
    <w:rsid w:val="0000089B"/>
    <w:rsid w:val="00001409"/>
    <w:rsid w:val="000015B3"/>
    <w:rsid w:val="00002E9F"/>
    <w:rsid w:val="00005538"/>
    <w:rsid w:val="00005E02"/>
    <w:rsid w:val="00007853"/>
    <w:rsid w:val="00007F89"/>
    <w:rsid w:val="00010AA8"/>
    <w:rsid w:val="00013247"/>
    <w:rsid w:val="0001696E"/>
    <w:rsid w:val="000213AE"/>
    <w:rsid w:val="000259F0"/>
    <w:rsid w:val="000315C8"/>
    <w:rsid w:val="00032AE8"/>
    <w:rsid w:val="00034023"/>
    <w:rsid w:val="00034AA0"/>
    <w:rsid w:val="00035C53"/>
    <w:rsid w:val="000368D3"/>
    <w:rsid w:val="00037930"/>
    <w:rsid w:val="0004029A"/>
    <w:rsid w:val="000406C4"/>
    <w:rsid w:val="00041697"/>
    <w:rsid w:val="00041794"/>
    <w:rsid w:val="00041C50"/>
    <w:rsid w:val="00041E41"/>
    <w:rsid w:val="000429E4"/>
    <w:rsid w:val="0004538A"/>
    <w:rsid w:val="00046DA8"/>
    <w:rsid w:val="00047304"/>
    <w:rsid w:val="000474E3"/>
    <w:rsid w:val="00047E64"/>
    <w:rsid w:val="00050152"/>
    <w:rsid w:val="00050628"/>
    <w:rsid w:val="0005413C"/>
    <w:rsid w:val="000546E5"/>
    <w:rsid w:val="00055142"/>
    <w:rsid w:val="00055553"/>
    <w:rsid w:val="000560A4"/>
    <w:rsid w:val="00056E3F"/>
    <w:rsid w:val="0006034E"/>
    <w:rsid w:val="0006159C"/>
    <w:rsid w:val="00062D04"/>
    <w:rsid w:val="000634B6"/>
    <w:rsid w:val="00063783"/>
    <w:rsid w:val="00064874"/>
    <w:rsid w:val="00066C51"/>
    <w:rsid w:val="00066F7D"/>
    <w:rsid w:val="00070905"/>
    <w:rsid w:val="00073008"/>
    <w:rsid w:val="0007364B"/>
    <w:rsid w:val="00073765"/>
    <w:rsid w:val="00073F1E"/>
    <w:rsid w:val="000747C3"/>
    <w:rsid w:val="00075EE5"/>
    <w:rsid w:val="00076672"/>
    <w:rsid w:val="0009259B"/>
    <w:rsid w:val="000929A6"/>
    <w:rsid w:val="000943A6"/>
    <w:rsid w:val="00094754"/>
    <w:rsid w:val="00095FA1"/>
    <w:rsid w:val="00096FA7"/>
    <w:rsid w:val="000A0665"/>
    <w:rsid w:val="000A4CD4"/>
    <w:rsid w:val="000A627A"/>
    <w:rsid w:val="000A6664"/>
    <w:rsid w:val="000A75AA"/>
    <w:rsid w:val="000B070E"/>
    <w:rsid w:val="000B0C69"/>
    <w:rsid w:val="000B279F"/>
    <w:rsid w:val="000B2A70"/>
    <w:rsid w:val="000B48BF"/>
    <w:rsid w:val="000B49DD"/>
    <w:rsid w:val="000B5015"/>
    <w:rsid w:val="000B788F"/>
    <w:rsid w:val="000B7C66"/>
    <w:rsid w:val="000C060D"/>
    <w:rsid w:val="000C1B52"/>
    <w:rsid w:val="000C2200"/>
    <w:rsid w:val="000C74C2"/>
    <w:rsid w:val="000D0B6C"/>
    <w:rsid w:val="000D4E36"/>
    <w:rsid w:val="000D65A4"/>
    <w:rsid w:val="000D665D"/>
    <w:rsid w:val="000D7897"/>
    <w:rsid w:val="000E3886"/>
    <w:rsid w:val="000E3DC1"/>
    <w:rsid w:val="000E466D"/>
    <w:rsid w:val="000E5A6E"/>
    <w:rsid w:val="000E62FE"/>
    <w:rsid w:val="000E6E2B"/>
    <w:rsid w:val="000F0DA3"/>
    <w:rsid w:val="000F524B"/>
    <w:rsid w:val="000F669F"/>
    <w:rsid w:val="00101017"/>
    <w:rsid w:val="001033F9"/>
    <w:rsid w:val="00103C0E"/>
    <w:rsid w:val="001044DA"/>
    <w:rsid w:val="00105348"/>
    <w:rsid w:val="00105B8A"/>
    <w:rsid w:val="00111B3C"/>
    <w:rsid w:val="00113138"/>
    <w:rsid w:val="00114040"/>
    <w:rsid w:val="001161E4"/>
    <w:rsid w:val="0012222E"/>
    <w:rsid w:val="00125690"/>
    <w:rsid w:val="00125A26"/>
    <w:rsid w:val="00127B1F"/>
    <w:rsid w:val="00130080"/>
    <w:rsid w:val="001317ED"/>
    <w:rsid w:val="00132333"/>
    <w:rsid w:val="00135FAE"/>
    <w:rsid w:val="00137C60"/>
    <w:rsid w:val="00143C8D"/>
    <w:rsid w:val="0014497E"/>
    <w:rsid w:val="00145FC9"/>
    <w:rsid w:val="00146E5D"/>
    <w:rsid w:val="001472A8"/>
    <w:rsid w:val="001517FD"/>
    <w:rsid w:val="00151DA6"/>
    <w:rsid w:val="0015376F"/>
    <w:rsid w:val="00157D4C"/>
    <w:rsid w:val="001607A0"/>
    <w:rsid w:val="001614E0"/>
    <w:rsid w:val="00164F37"/>
    <w:rsid w:val="001673D9"/>
    <w:rsid w:val="00171BD8"/>
    <w:rsid w:val="00172D12"/>
    <w:rsid w:val="001749B2"/>
    <w:rsid w:val="0017653E"/>
    <w:rsid w:val="001801D5"/>
    <w:rsid w:val="0018097C"/>
    <w:rsid w:val="00182B01"/>
    <w:rsid w:val="001840D2"/>
    <w:rsid w:val="001853E5"/>
    <w:rsid w:val="00187111"/>
    <w:rsid w:val="00187CCF"/>
    <w:rsid w:val="001901E9"/>
    <w:rsid w:val="00190858"/>
    <w:rsid w:val="0019171D"/>
    <w:rsid w:val="001930EC"/>
    <w:rsid w:val="00193CCB"/>
    <w:rsid w:val="0019424C"/>
    <w:rsid w:val="00194E69"/>
    <w:rsid w:val="001950C4"/>
    <w:rsid w:val="001966D7"/>
    <w:rsid w:val="001A03A3"/>
    <w:rsid w:val="001A08C0"/>
    <w:rsid w:val="001A0EAA"/>
    <w:rsid w:val="001A2CA9"/>
    <w:rsid w:val="001A2E04"/>
    <w:rsid w:val="001A34A3"/>
    <w:rsid w:val="001A4C0A"/>
    <w:rsid w:val="001A54B4"/>
    <w:rsid w:val="001B0C81"/>
    <w:rsid w:val="001B1DF2"/>
    <w:rsid w:val="001B57F3"/>
    <w:rsid w:val="001B5B23"/>
    <w:rsid w:val="001B5FAE"/>
    <w:rsid w:val="001B64BF"/>
    <w:rsid w:val="001C0010"/>
    <w:rsid w:val="001C42B3"/>
    <w:rsid w:val="001C4D2E"/>
    <w:rsid w:val="001C6751"/>
    <w:rsid w:val="001C7E35"/>
    <w:rsid w:val="001D0E42"/>
    <w:rsid w:val="001D127E"/>
    <w:rsid w:val="001D1612"/>
    <w:rsid w:val="001D462B"/>
    <w:rsid w:val="001D5F20"/>
    <w:rsid w:val="001D6E1C"/>
    <w:rsid w:val="001D7176"/>
    <w:rsid w:val="001E2452"/>
    <w:rsid w:val="001E3C06"/>
    <w:rsid w:val="001E6838"/>
    <w:rsid w:val="001E6D12"/>
    <w:rsid w:val="001E7822"/>
    <w:rsid w:val="001F0037"/>
    <w:rsid w:val="001F0700"/>
    <w:rsid w:val="001F07D0"/>
    <w:rsid w:val="001F0BE9"/>
    <w:rsid w:val="001F1948"/>
    <w:rsid w:val="001F33B5"/>
    <w:rsid w:val="001F368A"/>
    <w:rsid w:val="001F3C05"/>
    <w:rsid w:val="001F491D"/>
    <w:rsid w:val="00202D79"/>
    <w:rsid w:val="00203DAD"/>
    <w:rsid w:val="00205D2F"/>
    <w:rsid w:val="0021020F"/>
    <w:rsid w:val="00212154"/>
    <w:rsid w:val="00212869"/>
    <w:rsid w:val="00213503"/>
    <w:rsid w:val="002140D6"/>
    <w:rsid w:val="002140FC"/>
    <w:rsid w:val="00215638"/>
    <w:rsid w:val="00215E8F"/>
    <w:rsid w:val="002165B6"/>
    <w:rsid w:val="00216A45"/>
    <w:rsid w:val="00216E36"/>
    <w:rsid w:val="00217EF2"/>
    <w:rsid w:val="00221A93"/>
    <w:rsid w:val="00222987"/>
    <w:rsid w:val="00222C55"/>
    <w:rsid w:val="00225E67"/>
    <w:rsid w:val="00227BE1"/>
    <w:rsid w:val="002322BB"/>
    <w:rsid w:val="002326D6"/>
    <w:rsid w:val="00232C17"/>
    <w:rsid w:val="00233718"/>
    <w:rsid w:val="00235415"/>
    <w:rsid w:val="0023718D"/>
    <w:rsid w:val="002375F8"/>
    <w:rsid w:val="00240EE1"/>
    <w:rsid w:val="002423F0"/>
    <w:rsid w:val="00242490"/>
    <w:rsid w:val="00244CDF"/>
    <w:rsid w:val="00245361"/>
    <w:rsid w:val="0024772B"/>
    <w:rsid w:val="002509FF"/>
    <w:rsid w:val="002510E1"/>
    <w:rsid w:val="00251254"/>
    <w:rsid w:val="00251D1A"/>
    <w:rsid w:val="002548D1"/>
    <w:rsid w:val="00255795"/>
    <w:rsid w:val="00257B6C"/>
    <w:rsid w:val="00261AB8"/>
    <w:rsid w:val="00262E70"/>
    <w:rsid w:val="00264102"/>
    <w:rsid w:val="00264967"/>
    <w:rsid w:val="00265E61"/>
    <w:rsid w:val="00265FFE"/>
    <w:rsid w:val="00266166"/>
    <w:rsid w:val="00266579"/>
    <w:rsid w:val="00266728"/>
    <w:rsid w:val="00266C2F"/>
    <w:rsid w:val="00267201"/>
    <w:rsid w:val="00270046"/>
    <w:rsid w:val="002701A7"/>
    <w:rsid w:val="0027283B"/>
    <w:rsid w:val="00274511"/>
    <w:rsid w:val="00274F55"/>
    <w:rsid w:val="00275C5B"/>
    <w:rsid w:val="0027688B"/>
    <w:rsid w:val="0027730C"/>
    <w:rsid w:val="00277DD9"/>
    <w:rsid w:val="0028019B"/>
    <w:rsid w:val="002816B4"/>
    <w:rsid w:val="00281969"/>
    <w:rsid w:val="00281DB3"/>
    <w:rsid w:val="00282E73"/>
    <w:rsid w:val="00282F5A"/>
    <w:rsid w:val="00283173"/>
    <w:rsid w:val="00283221"/>
    <w:rsid w:val="00283CAB"/>
    <w:rsid w:val="0028525A"/>
    <w:rsid w:val="002870D2"/>
    <w:rsid w:val="00292E23"/>
    <w:rsid w:val="00294635"/>
    <w:rsid w:val="00294644"/>
    <w:rsid w:val="00294815"/>
    <w:rsid w:val="002972D8"/>
    <w:rsid w:val="002A3FEF"/>
    <w:rsid w:val="002A6D19"/>
    <w:rsid w:val="002A72EE"/>
    <w:rsid w:val="002B075B"/>
    <w:rsid w:val="002B0A0C"/>
    <w:rsid w:val="002B168C"/>
    <w:rsid w:val="002B47BF"/>
    <w:rsid w:val="002B4DD5"/>
    <w:rsid w:val="002B54A6"/>
    <w:rsid w:val="002B5E8A"/>
    <w:rsid w:val="002B7BE2"/>
    <w:rsid w:val="002C007F"/>
    <w:rsid w:val="002C0302"/>
    <w:rsid w:val="002C2F4A"/>
    <w:rsid w:val="002C4262"/>
    <w:rsid w:val="002C42CF"/>
    <w:rsid w:val="002C6C05"/>
    <w:rsid w:val="002D013D"/>
    <w:rsid w:val="002D1033"/>
    <w:rsid w:val="002D2890"/>
    <w:rsid w:val="002D3386"/>
    <w:rsid w:val="002D3A97"/>
    <w:rsid w:val="002D544F"/>
    <w:rsid w:val="002D5865"/>
    <w:rsid w:val="002D5A20"/>
    <w:rsid w:val="002D66DD"/>
    <w:rsid w:val="002D70C6"/>
    <w:rsid w:val="002E5CAA"/>
    <w:rsid w:val="002E6061"/>
    <w:rsid w:val="002E74E8"/>
    <w:rsid w:val="002F0DB9"/>
    <w:rsid w:val="002F112B"/>
    <w:rsid w:val="002F3EE9"/>
    <w:rsid w:val="002F4C05"/>
    <w:rsid w:val="00300DAB"/>
    <w:rsid w:val="00300FE4"/>
    <w:rsid w:val="003013FE"/>
    <w:rsid w:val="003021F3"/>
    <w:rsid w:val="00302C20"/>
    <w:rsid w:val="00307C22"/>
    <w:rsid w:val="00307F76"/>
    <w:rsid w:val="0031119F"/>
    <w:rsid w:val="00312B66"/>
    <w:rsid w:val="00312C63"/>
    <w:rsid w:val="00315AE8"/>
    <w:rsid w:val="00315ED3"/>
    <w:rsid w:val="0032150D"/>
    <w:rsid w:val="00321FBB"/>
    <w:rsid w:val="00323018"/>
    <w:rsid w:val="003241FA"/>
    <w:rsid w:val="003301BA"/>
    <w:rsid w:val="00330832"/>
    <w:rsid w:val="00330909"/>
    <w:rsid w:val="003313EA"/>
    <w:rsid w:val="003321FD"/>
    <w:rsid w:val="003330BE"/>
    <w:rsid w:val="00333FAA"/>
    <w:rsid w:val="003355D7"/>
    <w:rsid w:val="0034006A"/>
    <w:rsid w:val="00341AFD"/>
    <w:rsid w:val="00343664"/>
    <w:rsid w:val="003436D0"/>
    <w:rsid w:val="00343E31"/>
    <w:rsid w:val="003442CB"/>
    <w:rsid w:val="003449D9"/>
    <w:rsid w:val="00344B36"/>
    <w:rsid w:val="0034572E"/>
    <w:rsid w:val="00350F84"/>
    <w:rsid w:val="00351243"/>
    <w:rsid w:val="003541B0"/>
    <w:rsid w:val="00357196"/>
    <w:rsid w:val="003617F0"/>
    <w:rsid w:val="00361B83"/>
    <w:rsid w:val="0036201C"/>
    <w:rsid w:val="0036212A"/>
    <w:rsid w:val="00362B31"/>
    <w:rsid w:val="0036355D"/>
    <w:rsid w:val="0036495C"/>
    <w:rsid w:val="00364FA9"/>
    <w:rsid w:val="00365680"/>
    <w:rsid w:val="00367CA8"/>
    <w:rsid w:val="00373142"/>
    <w:rsid w:val="00374109"/>
    <w:rsid w:val="00374C9C"/>
    <w:rsid w:val="003763D7"/>
    <w:rsid w:val="00376768"/>
    <w:rsid w:val="00377138"/>
    <w:rsid w:val="00380F87"/>
    <w:rsid w:val="00381332"/>
    <w:rsid w:val="00383220"/>
    <w:rsid w:val="00384A54"/>
    <w:rsid w:val="00384AD0"/>
    <w:rsid w:val="003870A2"/>
    <w:rsid w:val="00387891"/>
    <w:rsid w:val="00387A9B"/>
    <w:rsid w:val="003923C1"/>
    <w:rsid w:val="003A1648"/>
    <w:rsid w:val="003A4F64"/>
    <w:rsid w:val="003A55C5"/>
    <w:rsid w:val="003A5D7E"/>
    <w:rsid w:val="003A6ED8"/>
    <w:rsid w:val="003A707C"/>
    <w:rsid w:val="003B59D6"/>
    <w:rsid w:val="003B5B1A"/>
    <w:rsid w:val="003B6273"/>
    <w:rsid w:val="003B6C00"/>
    <w:rsid w:val="003B794D"/>
    <w:rsid w:val="003C0D42"/>
    <w:rsid w:val="003C1533"/>
    <w:rsid w:val="003C20A4"/>
    <w:rsid w:val="003C270D"/>
    <w:rsid w:val="003C395C"/>
    <w:rsid w:val="003C403D"/>
    <w:rsid w:val="003C4FCB"/>
    <w:rsid w:val="003C5FD3"/>
    <w:rsid w:val="003C6C54"/>
    <w:rsid w:val="003C6D9D"/>
    <w:rsid w:val="003D5DE7"/>
    <w:rsid w:val="003D6F9B"/>
    <w:rsid w:val="003D7F10"/>
    <w:rsid w:val="003E02E4"/>
    <w:rsid w:val="003E0825"/>
    <w:rsid w:val="003E1745"/>
    <w:rsid w:val="003E1DC8"/>
    <w:rsid w:val="003E2328"/>
    <w:rsid w:val="003E2587"/>
    <w:rsid w:val="003E274D"/>
    <w:rsid w:val="003E38F0"/>
    <w:rsid w:val="003E6E0B"/>
    <w:rsid w:val="003F200F"/>
    <w:rsid w:val="003F23CB"/>
    <w:rsid w:val="003F3AFD"/>
    <w:rsid w:val="004014A1"/>
    <w:rsid w:val="00401848"/>
    <w:rsid w:val="004020E7"/>
    <w:rsid w:val="00404AA9"/>
    <w:rsid w:val="004051BD"/>
    <w:rsid w:val="00405402"/>
    <w:rsid w:val="0040764F"/>
    <w:rsid w:val="004076C8"/>
    <w:rsid w:val="00407F5E"/>
    <w:rsid w:val="004103A7"/>
    <w:rsid w:val="004105B6"/>
    <w:rsid w:val="004174DC"/>
    <w:rsid w:val="00420168"/>
    <w:rsid w:val="004207E3"/>
    <w:rsid w:val="00421A4C"/>
    <w:rsid w:val="00422051"/>
    <w:rsid w:val="00422E49"/>
    <w:rsid w:val="004238C2"/>
    <w:rsid w:val="0042575B"/>
    <w:rsid w:val="004267E2"/>
    <w:rsid w:val="00427BED"/>
    <w:rsid w:val="00430DD7"/>
    <w:rsid w:val="00434D1D"/>
    <w:rsid w:val="00435888"/>
    <w:rsid w:val="00435B5D"/>
    <w:rsid w:val="00435D0A"/>
    <w:rsid w:val="00435D47"/>
    <w:rsid w:val="004363F7"/>
    <w:rsid w:val="00437519"/>
    <w:rsid w:val="004422BD"/>
    <w:rsid w:val="00442CAB"/>
    <w:rsid w:val="00443A95"/>
    <w:rsid w:val="004443E6"/>
    <w:rsid w:val="00444769"/>
    <w:rsid w:val="00445214"/>
    <w:rsid w:val="0044525C"/>
    <w:rsid w:val="004453C1"/>
    <w:rsid w:val="00445C2D"/>
    <w:rsid w:val="004469DF"/>
    <w:rsid w:val="004507BF"/>
    <w:rsid w:val="00451467"/>
    <w:rsid w:val="00452A9F"/>
    <w:rsid w:val="004551BA"/>
    <w:rsid w:val="004553F1"/>
    <w:rsid w:val="004612BC"/>
    <w:rsid w:val="0046225E"/>
    <w:rsid w:val="00463FEB"/>
    <w:rsid w:val="00464829"/>
    <w:rsid w:val="004660ED"/>
    <w:rsid w:val="00466A79"/>
    <w:rsid w:val="00467F91"/>
    <w:rsid w:val="00470AB7"/>
    <w:rsid w:val="00471C1F"/>
    <w:rsid w:val="00471C59"/>
    <w:rsid w:val="004730F7"/>
    <w:rsid w:val="004749E4"/>
    <w:rsid w:val="00474F05"/>
    <w:rsid w:val="00475A02"/>
    <w:rsid w:val="004763ED"/>
    <w:rsid w:val="00476FDC"/>
    <w:rsid w:val="004779AB"/>
    <w:rsid w:val="00480438"/>
    <w:rsid w:val="004809FA"/>
    <w:rsid w:val="0048327A"/>
    <w:rsid w:val="0048359E"/>
    <w:rsid w:val="004853F6"/>
    <w:rsid w:val="00485C15"/>
    <w:rsid w:val="00486287"/>
    <w:rsid w:val="004870C2"/>
    <w:rsid w:val="00487305"/>
    <w:rsid w:val="00490D41"/>
    <w:rsid w:val="00491B62"/>
    <w:rsid w:val="0049265A"/>
    <w:rsid w:val="00492B3C"/>
    <w:rsid w:val="00494E26"/>
    <w:rsid w:val="00494F22"/>
    <w:rsid w:val="00495DD6"/>
    <w:rsid w:val="0049731F"/>
    <w:rsid w:val="004974DA"/>
    <w:rsid w:val="004978BF"/>
    <w:rsid w:val="004A0717"/>
    <w:rsid w:val="004A0C18"/>
    <w:rsid w:val="004A1FC1"/>
    <w:rsid w:val="004A4436"/>
    <w:rsid w:val="004A7660"/>
    <w:rsid w:val="004B1168"/>
    <w:rsid w:val="004B7456"/>
    <w:rsid w:val="004B7D72"/>
    <w:rsid w:val="004C19ED"/>
    <w:rsid w:val="004C2D09"/>
    <w:rsid w:val="004C4953"/>
    <w:rsid w:val="004C4A75"/>
    <w:rsid w:val="004C582B"/>
    <w:rsid w:val="004C63BC"/>
    <w:rsid w:val="004C6E99"/>
    <w:rsid w:val="004C75E1"/>
    <w:rsid w:val="004D036F"/>
    <w:rsid w:val="004D0A2B"/>
    <w:rsid w:val="004D1643"/>
    <w:rsid w:val="004D2DA0"/>
    <w:rsid w:val="004D328C"/>
    <w:rsid w:val="004D3E9F"/>
    <w:rsid w:val="004D59F2"/>
    <w:rsid w:val="004D5E63"/>
    <w:rsid w:val="004D5EA1"/>
    <w:rsid w:val="004D7071"/>
    <w:rsid w:val="004E14A4"/>
    <w:rsid w:val="004E15E3"/>
    <w:rsid w:val="004E3383"/>
    <w:rsid w:val="004E3902"/>
    <w:rsid w:val="004E5097"/>
    <w:rsid w:val="004E5DBB"/>
    <w:rsid w:val="004E66BB"/>
    <w:rsid w:val="004E691C"/>
    <w:rsid w:val="004F0CDE"/>
    <w:rsid w:val="004F1014"/>
    <w:rsid w:val="004F27C8"/>
    <w:rsid w:val="004F42DA"/>
    <w:rsid w:val="004F5096"/>
    <w:rsid w:val="004F5271"/>
    <w:rsid w:val="004F549D"/>
    <w:rsid w:val="004F54BD"/>
    <w:rsid w:val="004F56C5"/>
    <w:rsid w:val="00500852"/>
    <w:rsid w:val="005014ED"/>
    <w:rsid w:val="005016BD"/>
    <w:rsid w:val="00505E16"/>
    <w:rsid w:val="00506185"/>
    <w:rsid w:val="0051044C"/>
    <w:rsid w:val="00516539"/>
    <w:rsid w:val="00517B3E"/>
    <w:rsid w:val="0052003E"/>
    <w:rsid w:val="005234CA"/>
    <w:rsid w:val="00523DB1"/>
    <w:rsid w:val="005354D0"/>
    <w:rsid w:val="005367B7"/>
    <w:rsid w:val="00537515"/>
    <w:rsid w:val="0054172C"/>
    <w:rsid w:val="0054590F"/>
    <w:rsid w:val="005459EC"/>
    <w:rsid w:val="00546CDB"/>
    <w:rsid w:val="00553EF9"/>
    <w:rsid w:val="00556295"/>
    <w:rsid w:val="00556EDD"/>
    <w:rsid w:val="00562231"/>
    <w:rsid w:val="005623C6"/>
    <w:rsid w:val="005635C2"/>
    <w:rsid w:val="00563EA4"/>
    <w:rsid w:val="00563F22"/>
    <w:rsid w:val="00565251"/>
    <w:rsid w:val="00567C40"/>
    <w:rsid w:val="0057019A"/>
    <w:rsid w:val="005718B5"/>
    <w:rsid w:val="005735E3"/>
    <w:rsid w:val="00573BE1"/>
    <w:rsid w:val="00575AEA"/>
    <w:rsid w:val="00575D5F"/>
    <w:rsid w:val="00577594"/>
    <w:rsid w:val="005808FB"/>
    <w:rsid w:val="005811F8"/>
    <w:rsid w:val="00581414"/>
    <w:rsid w:val="00582605"/>
    <w:rsid w:val="0058442E"/>
    <w:rsid w:val="00584E8C"/>
    <w:rsid w:val="00586920"/>
    <w:rsid w:val="0059038C"/>
    <w:rsid w:val="00591016"/>
    <w:rsid w:val="00592792"/>
    <w:rsid w:val="0059290F"/>
    <w:rsid w:val="005933A8"/>
    <w:rsid w:val="00593F37"/>
    <w:rsid w:val="00595EEA"/>
    <w:rsid w:val="00596FFF"/>
    <w:rsid w:val="00597998"/>
    <w:rsid w:val="005A2AEB"/>
    <w:rsid w:val="005A2FE2"/>
    <w:rsid w:val="005A43E1"/>
    <w:rsid w:val="005A507F"/>
    <w:rsid w:val="005A72F5"/>
    <w:rsid w:val="005A7681"/>
    <w:rsid w:val="005B055D"/>
    <w:rsid w:val="005B10EB"/>
    <w:rsid w:val="005B3F67"/>
    <w:rsid w:val="005B51CB"/>
    <w:rsid w:val="005C1AF9"/>
    <w:rsid w:val="005D02B5"/>
    <w:rsid w:val="005D4C9B"/>
    <w:rsid w:val="005D548F"/>
    <w:rsid w:val="005D586A"/>
    <w:rsid w:val="005D5BF5"/>
    <w:rsid w:val="005D6114"/>
    <w:rsid w:val="005D6EF5"/>
    <w:rsid w:val="005D7CCE"/>
    <w:rsid w:val="005E00C3"/>
    <w:rsid w:val="005E0487"/>
    <w:rsid w:val="005E36A7"/>
    <w:rsid w:val="005E3A10"/>
    <w:rsid w:val="005E3BD1"/>
    <w:rsid w:val="005E5FE4"/>
    <w:rsid w:val="005E69CE"/>
    <w:rsid w:val="005E6BA7"/>
    <w:rsid w:val="005E7509"/>
    <w:rsid w:val="005E775A"/>
    <w:rsid w:val="005E7A26"/>
    <w:rsid w:val="005F1106"/>
    <w:rsid w:val="005F193A"/>
    <w:rsid w:val="005F27C4"/>
    <w:rsid w:val="005F5283"/>
    <w:rsid w:val="0060132C"/>
    <w:rsid w:val="0060162B"/>
    <w:rsid w:val="00601D7F"/>
    <w:rsid w:val="00602BC6"/>
    <w:rsid w:val="00603889"/>
    <w:rsid w:val="00603B97"/>
    <w:rsid w:val="00605A4C"/>
    <w:rsid w:val="00606977"/>
    <w:rsid w:val="006155C1"/>
    <w:rsid w:val="0061702C"/>
    <w:rsid w:val="00621F5F"/>
    <w:rsid w:val="00622408"/>
    <w:rsid w:val="00626604"/>
    <w:rsid w:val="00632290"/>
    <w:rsid w:val="00633ACE"/>
    <w:rsid w:val="00634397"/>
    <w:rsid w:val="00634C24"/>
    <w:rsid w:val="00635F1A"/>
    <w:rsid w:val="00636D30"/>
    <w:rsid w:val="0064094F"/>
    <w:rsid w:val="006409D5"/>
    <w:rsid w:val="00642756"/>
    <w:rsid w:val="006432A0"/>
    <w:rsid w:val="00643743"/>
    <w:rsid w:val="00644207"/>
    <w:rsid w:val="006454BE"/>
    <w:rsid w:val="00645B8B"/>
    <w:rsid w:val="00647A48"/>
    <w:rsid w:val="00652BAB"/>
    <w:rsid w:val="00654031"/>
    <w:rsid w:val="00655044"/>
    <w:rsid w:val="00655C42"/>
    <w:rsid w:val="0065634D"/>
    <w:rsid w:val="006605FD"/>
    <w:rsid w:val="00663228"/>
    <w:rsid w:val="00663CB7"/>
    <w:rsid w:val="00663CE6"/>
    <w:rsid w:val="00665BE7"/>
    <w:rsid w:val="00666922"/>
    <w:rsid w:val="00670683"/>
    <w:rsid w:val="00670F17"/>
    <w:rsid w:val="006710C7"/>
    <w:rsid w:val="0068129E"/>
    <w:rsid w:val="00684CF6"/>
    <w:rsid w:val="00685071"/>
    <w:rsid w:val="006873E7"/>
    <w:rsid w:val="00694C7A"/>
    <w:rsid w:val="00694D17"/>
    <w:rsid w:val="0069680E"/>
    <w:rsid w:val="00696A83"/>
    <w:rsid w:val="006977C0"/>
    <w:rsid w:val="00697879"/>
    <w:rsid w:val="006A01B3"/>
    <w:rsid w:val="006A23CA"/>
    <w:rsid w:val="006A3D24"/>
    <w:rsid w:val="006A46F1"/>
    <w:rsid w:val="006A6090"/>
    <w:rsid w:val="006B2838"/>
    <w:rsid w:val="006B33E0"/>
    <w:rsid w:val="006B4736"/>
    <w:rsid w:val="006B58D1"/>
    <w:rsid w:val="006B5EBA"/>
    <w:rsid w:val="006B72A1"/>
    <w:rsid w:val="006C4EA3"/>
    <w:rsid w:val="006C580A"/>
    <w:rsid w:val="006D00E3"/>
    <w:rsid w:val="006D0293"/>
    <w:rsid w:val="006D146F"/>
    <w:rsid w:val="006D1E69"/>
    <w:rsid w:val="006D49AB"/>
    <w:rsid w:val="006D4F3F"/>
    <w:rsid w:val="006D5536"/>
    <w:rsid w:val="006D772C"/>
    <w:rsid w:val="006E0DAB"/>
    <w:rsid w:val="006E456A"/>
    <w:rsid w:val="006E531C"/>
    <w:rsid w:val="006E5C0F"/>
    <w:rsid w:val="006E6992"/>
    <w:rsid w:val="006F057C"/>
    <w:rsid w:val="006F1750"/>
    <w:rsid w:val="006F17E5"/>
    <w:rsid w:val="006F22DA"/>
    <w:rsid w:val="006F2CF4"/>
    <w:rsid w:val="006F2EB3"/>
    <w:rsid w:val="006F6EC9"/>
    <w:rsid w:val="006F79ED"/>
    <w:rsid w:val="007039DC"/>
    <w:rsid w:val="007047F4"/>
    <w:rsid w:val="0070680F"/>
    <w:rsid w:val="007116B1"/>
    <w:rsid w:val="007124C8"/>
    <w:rsid w:val="0071403B"/>
    <w:rsid w:val="00714BEE"/>
    <w:rsid w:val="00714E1D"/>
    <w:rsid w:val="0071575A"/>
    <w:rsid w:val="007165EC"/>
    <w:rsid w:val="00716AD8"/>
    <w:rsid w:val="007175B4"/>
    <w:rsid w:val="00717DB1"/>
    <w:rsid w:val="00721215"/>
    <w:rsid w:val="00721296"/>
    <w:rsid w:val="0072307F"/>
    <w:rsid w:val="00724790"/>
    <w:rsid w:val="0072633B"/>
    <w:rsid w:val="0072786C"/>
    <w:rsid w:val="00730A21"/>
    <w:rsid w:val="0073109F"/>
    <w:rsid w:val="0073194E"/>
    <w:rsid w:val="00732B2A"/>
    <w:rsid w:val="00735501"/>
    <w:rsid w:val="00735D16"/>
    <w:rsid w:val="007400CF"/>
    <w:rsid w:val="007425C8"/>
    <w:rsid w:val="00743636"/>
    <w:rsid w:val="00743CE5"/>
    <w:rsid w:val="0074454D"/>
    <w:rsid w:val="007472DB"/>
    <w:rsid w:val="0074747C"/>
    <w:rsid w:val="00751A16"/>
    <w:rsid w:val="00751AD1"/>
    <w:rsid w:val="007543CA"/>
    <w:rsid w:val="0075658C"/>
    <w:rsid w:val="00756C90"/>
    <w:rsid w:val="00756D27"/>
    <w:rsid w:val="007571E4"/>
    <w:rsid w:val="00760D22"/>
    <w:rsid w:val="00761683"/>
    <w:rsid w:val="00764D70"/>
    <w:rsid w:val="00764D88"/>
    <w:rsid w:val="00770D0D"/>
    <w:rsid w:val="007736C1"/>
    <w:rsid w:val="00773A87"/>
    <w:rsid w:val="00774976"/>
    <w:rsid w:val="0077514E"/>
    <w:rsid w:val="0077548F"/>
    <w:rsid w:val="007805BA"/>
    <w:rsid w:val="00781053"/>
    <w:rsid w:val="00782C48"/>
    <w:rsid w:val="00783C77"/>
    <w:rsid w:val="00784482"/>
    <w:rsid w:val="0078448D"/>
    <w:rsid w:val="007855FF"/>
    <w:rsid w:val="00787F7B"/>
    <w:rsid w:val="00792B95"/>
    <w:rsid w:val="00793636"/>
    <w:rsid w:val="00793665"/>
    <w:rsid w:val="007947A3"/>
    <w:rsid w:val="007949ED"/>
    <w:rsid w:val="00795171"/>
    <w:rsid w:val="007A4139"/>
    <w:rsid w:val="007A4AE8"/>
    <w:rsid w:val="007A4B63"/>
    <w:rsid w:val="007A5618"/>
    <w:rsid w:val="007A59EE"/>
    <w:rsid w:val="007A70EA"/>
    <w:rsid w:val="007A7629"/>
    <w:rsid w:val="007B23FC"/>
    <w:rsid w:val="007B3BBD"/>
    <w:rsid w:val="007B3C47"/>
    <w:rsid w:val="007B58B1"/>
    <w:rsid w:val="007C21A7"/>
    <w:rsid w:val="007C376C"/>
    <w:rsid w:val="007C525A"/>
    <w:rsid w:val="007C5C50"/>
    <w:rsid w:val="007D026D"/>
    <w:rsid w:val="007D0C1D"/>
    <w:rsid w:val="007D1774"/>
    <w:rsid w:val="007D1BC8"/>
    <w:rsid w:val="007D2000"/>
    <w:rsid w:val="007D3932"/>
    <w:rsid w:val="007D3D4C"/>
    <w:rsid w:val="007D4DBF"/>
    <w:rsid w:val="007D5926"/>
    <w:rsid w:val="007D5D00"/>
    <w:rsid w:val="007E3ACB"/>
    <w:rsid w:val="007E4732"/>
    <w:rsid w:val="007E4BA4"/>
    <w:rsid w:val="007E4EB4"/>
    <w:rsid w:val="007E50DE"/>
    <w:rsid w:val="007E54EB"/>
    <w:rsid w:val="007E692D"/>
    <w:rsid w:val="007E69C7"/>
    <w:rsid w:val="007F004E"/>
    <w:rsid w:val="007F14E3"/>
    <w:rsid w:val="007F1A19"/>
    <w:rsid w:val="007F28BF"/>
    <w:rsid w:val="007F2D08"/>
    <w:rsid w:val="007F335A"/>
    <w:rsid w:val="007F3445"/>
    <w:rsid w:val="007F3C4F"/>
    <w:rsid w:val="007F550C"/>
    <w:rsid w:val="007F7103"/>
    <w:rsid w:val="00801139"/>
    <w:rsid w:val="00803035"/>
    <w:rsid w:val="00803104"/>
    <w:rsid w:val="00803B6D"/>
    <w:rsid w:val="00804DD9"/>
    <w:rsid w:val="00807C12"/>
    <w:rsid w:val="00807E0F"/>
    <w:rsid w:val="00811937"/>
    <w:rsid w:val="008125E3"/>
    <w:rsid w:val="008127B9"/>
    <w:rsid w:val="00812901"/>
    <w:rsid w:val="00813826"/>
    <w:rsid w:val="0081434B"/>
    <w:rsid w:val="00815AA9"/>
    <w:rsid w:val="00815C0A"/>
    <w:rsid w:val="00817545"/>
    <w:rsid w:val="0082349F"/>
    <w:rsid w:val="008264CB"/>
    <w:rsid w:val="00826B9A"/>
    <w:rsid w:val="008311B3"/>
    <w:rsid w:val="008372B6"/>
    <w:rsid w:val="008415DE"/>
    <w:rsid w:val="00842757"/>
    <w:rsid w:val="00842E55"/>
    <w:rsid w:val="00843CC2"/>
    <w:rsid w:val="00844BF2"/>
    <w:rsid w:val="00850AD3"/>
    <w:rsid w:val="008512F0"/>
    <w:rsid w:val="0085266D"/>
    <w:rsid w:val="008533C4"/>
    <w:rsid w:val="00853B4A"/>
    <w:rsid w:val="008541B1"/>
    <w:rsid w:val="00856863"/>
    <w:rsid w:val="00856A56"/>
    <w:rsid w:val="008571B5"/>
    <w:rsid w:val="00857353"/>
    <w:rsid w:val="0086121C"/>
    <w:rsid w:val="00862E81"/>
    <w:rsid w:val="00865A07"/>
    <w:rsid w:val="00865A82"/>
    <w:rsid w:val="00867FB6"/>
    <w:rsid w:val="00873F81"/>
    <w:rsid w:val="0087464D"/>
    <w:rsid w:val="00877E50"/>
    <w:rsid w:val="00881017"/>
    <w:rsid w:val="0088157E"/>
    <w:rsid w:val="00882E75"/>
    <w:rsid w:val="00885512"/>
    <w:rsid w:val="00887B3B"/>
    <w:rsid w:val="008927A3"/>
    <w:rsid w:val="00896FF9"/>
    <w:rsid w:val="0089785D"/>
    <w:rsid w:val="008A0B97"/>
    <w:rsid w:val="008A1A2B"/>
    <w:rsid w:val="008A4E79"/>
    <w:rsid w:val="008A5AA0"/>
    <w:rsid w:val="008B1028"/>
    <w:rsid w:val="008B3D2A"/>
    <w:rsid w:val="008B5219"/>
    <w:rsid w:val="008C3461"/>
    <w:rsid w:val="008C39E3"/>
    <w:rsid w:val="008C42F4"/>
    <w:rsid w:val="008C5BFE"/>
    <w:rsid w:val="008C6229"/>
    <w:rsid w:val="008C6586"/>
    <w:rsid w:val="008C7080"/>
    <w:rsid w:val="008C743F"/>
    <w:rsid w:val="008D1B46"/>
    <w:rsid w:val="008D3C60"/>
    <w:rsid w:val="008E0008"/>
    <w:rsid w:val="008E1B72"/>
    <w:rsid w:val="008E224D"/>
    <w:rsid w:val="008E30E8"/>
    <w:rsid w:val="008E3847"/>
    <w:rsid w:val="008E3B9A"/>
    <w:rsid w:val="008E5D60"/>
    <w:rsid w:val="008E64AA"/>
    <w:rsid w:val="008E6517"/>
    <w:rsid w:val="008E7243"/>
    <w:rsid w:val="008E7CD7"/>
    <w:rsid w:val="008F0B7A"/>
    <w:rsid w:val="008F107F"/>
    <w:rsid w:val="008F2C38"/>
    <w:rsid w:val="008F46A9"/>
    <w:rsid w:val="008F4A1C"/>
    <w:rsid w:val="008F5003"/>
    <w:rsid w:val="008F5C4F"/>
    <w:rsid w:val="008F6338"/>
    <w:rsid w:val="008F745A"/>
    <w:rsid w:val="008F7685"/>
    <w:rsid w:val="008F76EC"/>
    <w:rsid w:val="008F7B9F"/>
    <w:rsid w:val="00902696"/>
    <w:rsid w:val="00903D7A"/>
    <w:rsid w:val="009042B7"/>
    <w:rsid w:val="0090606D"/>
    <w:rsid w:val="00912028"/>
    <w:rsid w:val="009135B5"/>
    <w:rsid w:val="00913BC8"/>
    <w:rsid w:val="0091513D"/>
    <w:rsid w:val="009161BE"/>
    <w:rsid w:val="009171D5"/>
    <w:rsid w:val="00917C39"/>
    <w:rsid w:val="0092008D"/>
    <w:rsid w:val="00921196"/>
    <w:rsid w:val="00921841"/>
    <w:rsid w:val="00921A95"/>
    <w:rsid w:val="0092362D"/>
    <w:rsid w:val="00923D23"/>
    <w:rsid w:val="0092530B"/>
    <w:rsid w:val="00925D4E"/>
    <w:rsid w:val="00926DBB"/>
    <w:rsid w:val="00930657"/>
    <w:rsid w:val="00933AAA"/>
    <w:rsid w:val="009341A6"/>
    <w:rsid w:val="00935BD4"/>
    <w:rsid w:val="00940892"/>
    <w:rsid w:val="0094208C"/>
    <w:rsid w:val="00942F17"/>
    <w:rsid w:val="00943236"/>
    <w:rsid w:val="00943719"/>
    <w:rsid w:val="00945AFA"/>
    <w:rsid w:val="00946E4D"/>
    <w:rsid w:val="00947ACC"/>
    <w:rsid w:val="00950C6D"/>
    <w:rsid w:val="00950D5B"/>
    <w:rsid w:val="00950E76"/>
    <w:rsid w:val="0095147D"/>
    <w:rsid w:val="00951685"/>
    <w:rsid w:val="00952CEF"/>
    <w:rsid w:val="00953DB7"/>
    <w:rsid w:val="00955421"/>
    <w:rsid w:val="0095576C"/>
    <w:rsid w:val="00955A5B"/>
    <w:rsid w:val="00956D48"/>
    <w:rsid w:val="00957009"/>
    <w:rsid w:val="00962ED4"/>
    <w:rsid w:val="009655B5"/>
    <w:rsid w:val="00966C91"/>
    <w:rsid w:val="00967225"/>
    <w:rsid w:val="00967E6F"/>
    <w:rsid w:val="00982E09"/>
    <w:rsid w:val="00983480"/>
    <w:rsid w:val="00990E9C"/>
    <w:rsid w:val="009922F9"/>
    <w:rsid w:val="00994542"/>
    <w:rsid w:val="00994908"/>
    <w:rsid w:val="00994FAC"/>
    <w:rsid w:val="00996F1E"/>
    <w:rsid w:val="009A08A0"/>
    <w:rsid w:val="009A499A"/>
    <w:rsid w:val="009A6497"/>
    <w:rsid w:val="009A652E"/>
    <w:rsid w:val="009B160B"/>
    <w:rsid w:val="009B1EBD"/>
    <w:rsid w:val="009B2C3B"/>
    <w:rsid w:val="009B4FBD"/>
    <w:rsid w:val="009B6061"/>
    <w:rsid w:val="009C11E0"/>
    <w:rsid w:val="009C128E"/>
    <w:rsid w:val="009C237B"/>
    <w:rsid w:val="009C37D6"/>
    <w:rsid w:val="009C42D8"/>
    <w:rsid w:val="009C4DD1"/>
    <w:rsid w:val="009C4EAE"/>
    <w:rsid w:val="009C5444"/>
    <w:rsid w:val="009C628D"/>
    <w:rsid w:val="009C67D1"/>
    <w:rsid w:val="009C778C"/>
    <w:rsid w:val="009D10D6"/>
    <w:rsid w:val="009D1F78"/>
    <w:rsid w:val="009D3A0D"/>
    <w:rsid w:val="009D4060"/>
    <w:rsid w:val="009D67E9"/>
    <w:rsid w:val="009D7B88"/>
    <w:rsid w:val="009E038D"/>
    <w:rsid w:val="009E1081"/>
    <w:rsid w:val="009E159B"/>
    <w:rsid w:val="009E2E70"/>
    <w:rsid w:val="009E4CFF"/>
    <w:rsid w:val="009E5574"/>
    <w:rsid w:val="009E5A93"/>
    <w:rsid w:val="009E6D53"/>
    <w:rsid w:val="009F158C"/>
    <w:rsid w:val="009F3154"/>
    <w:rsid w:val="009F36C0"/>
    <w:rsid w:val="009F4665"/>
    <w:rsid w:val="009F4DEB"/>
    <w:rsid w:val="009F5735"/>
    <w:rsid w:val="009F7B18"/>
    <w:rsid w:val="00A029F3"/>
    <w:rsid w:val="00A04D48"/>
    <w:rsid w:val="00A05889"/>
    <w:rsid w:val="00A066E7"/>
    <w:rsid w:val="00A079DF"/>
    <w:rsid w:val="00A1211C"/>
    <w:rsid w:val="00A13230"/>
    <w:rsid w:val="00A13F4C"/>
    <w:rsid w:val="00A1448A"/>
    <w:rsid w:val="00A1462C"/>
    <w:rsid w:val="00A20113"/>
    <w:rsid w:val="00A20D78"/>
    <w:rsid w:val="00A21ACF"/>
    <w:rsid w:val="00A21BF1"/>
    <w:rsid w:val="00A21F94"/>
    <w:rsid w:val="00A2215F"/>
    <w:rsid w:val="00A22839"/>
    <w:rsid w:val="00A230B4"/>
    <w:rsid w:val="00A23E19"/>
    <w:rsid w:val="00A244BF"/>
    <w:rsid w:val="00A24B8F"/>
    <w:rsid w:val="00A25100"/>
    <w:rsid w:val="00A26C40"/>
    <w:rsid w:val="00A26D76"/>
    <w:rsid w:val="00A3094F"/>
    <w:rsid w:val="00A319A7"/>
    <w:rsid w:val="00A32862"/>
    <w:rsid w:val="00A32FAD"/>
    <w:rsid w:val="00A33185"/>
    <w:rsid w:val="00A35D11"/>
    <w:rsid w:val="00A35D45"/>
    <w:rsid w:val="00A3647C"/>
    <w:rsid w:val="00A36A11"/>
    <w:rsid w:val="00A37454"/>
    <w:rsid w:val="00A374CB"/>
    <w:rsid w:val="00A419E6"/>
    <w:rsid w:val="00A436B9"/>
    <w:rsid w:val="00A4469A"/>
    <w:rsid w:val="00A44854"/>
    <w:rsid w:val="00A504F1"/>
    <w:rsid w:val="00A52892"/>
    <w:rsid w:val="00A53B04"/>
    <w:rsid w:val="00A53BCB"/>
    <w:rsid w:val="00A54E3D"/>
    <w:rsid w:val="00A55FE6"/>
    <w:rsid w:val="00A57A12"/>
    <w:rsid w:val="00A60D2F"/>
    <w:rsid w:val="00A6417B"/>
    <w:rsid w:val="00A6448C"/>
    <w:rsid w:val="00A64542"/>
    <w:rsid w:val="00A65680"/>
    <w:rsid w:val="00A661F4"/>
    <w:rsid w:val="00A66326"/>
    <w:rsid w:val="00A66F99"/>
    <w:rsid w:val="00A7271A"/>
    <w:rsid w:val="00A72D0D"/>
    <w:rsid w:val="00A735F8"/>
    <w:rsid w:val="00A73E80"/>
    <w:rsid w:val="00A74042"/>
    <w:rsid w:val="00A74D79"/>
    <w:rsid w:val="00A80664"/>
    <w:rsid w:val="00A810A6"/>
    <w:rsid w:val="00A8194A"/>
    <w:rsid w:val="00A81E19"/>
    <w:rsid w:val="00A83220"/>
    <w:rsid w:val="00A87F82"/>
    <w:rsid w:val="00A90196"/>
    <w:rsid w:val="00A92B4A"/>
    <w:rsid w:val="00A9334B"/>
    <w:rsid w:val="00A9335B"/>
    <w:rsid w:val="00A9576C"/>
    <w:rsid w:val="00A9723B"/>
    <w:rsid w:val="00A97F7F"/>
    <w:rsid w:val="00AA0EAD"/>
    <w:rsid w:val="00AA731A"/>
    <w:rsid w:val="00AB00B4"/>
    <w:rsid w:val="00AB0890"/>
    <w:rsid w:val="00AB30F3"/>
    <w:rsid w:val="00AB3F2E"/>
    <w:rsid w:val="00AB5C77"/>
    <w:rsid w:val="00AB795F"/>
    <w:rsid w:val="00AC0DFB"/>
    <w:rsid w:val="00AC14CA"/>
    <w:rsid w:val="00AC3A5E"/>
    <w:rsid w:val="00AC3A8C"/>
    <w:rsid w:val="00AC603C"/>
    <w:rsid w:val="00AC6312"/>
    <w:rsid w:val="00AC7747"/>
    <w:rsid w:val="00AD0203"/>
    <w:rsid w:val="00AD1292"/>
    <w:rsid w:val="00AD1E77"/>
    <w:rsid w:val="00AD2E61"/>
    <w:rsid w:val="00AD2F5D"/>
    <w:rsid w:val="00AD34FE"/>
    <w:rsid w:val="00AD5756"/>
    <w:rsid w:val="00AD6617"/>
    <w:rsid w:val="00AD6D80"/>
    <w:rsid w:val="00AE50CD"/>
    <w:rsid w:val="00AE7FBA"/>
    <w:rsid w:val="00AF09B7"/>
    <w:rsid w:val="00AF1918"/>
    <w:rsid w:val="00AF3302"/>
    <w:rsid w:val="00AF44AC"/>
    <w:rsid w:val="00AF4652"/>
    <w:rsid w:val="00AF6445"/>
    <w:rsid w:val="00AF7246"/>
    <w:rsid w:val="00AF7A88"/>
    <w:rsid w:val="00B00697"/>
    <w:rsid w:val="00B00F31"/>
    <w:rsid w:val="00B02D0F"/>
    <w:rsid w:val="00B05407"/>
    <w:rsid w:val="00B05D84"/>
    <w:rsid w:val="00B05F10"/>
    <w:rsid w:val="00B103C4"/>
    <w:rsid w:val="00B1160D"/>
    <w:rsid w:val="00B1338B"/>
    <w:rsid w:val="00B139FB"/>
    <w:rsid w:val="00B14BC0"/>
    <w:rsid w:val="00B16A9F"/>
    <w:rsid w:val="00B176A1"/>
    <w:rsid w:val="00B1797C"/>
    <w:rsid w:val="00B17B57"/>
    <w:rsid w:val="00B21390"/>
    <w:rsid w:val="00B24AA6"/>
    <w:rsid w:val="00B327DD"/>
    <w:rsid w:val="00B32F1E"/>
    <w:rsid w:val="00B340FE"/>
    <w:rsid w:val="00B34A6B"/>
    <w:rsid w:val="00B34BA5"/>
    <w:rsid w:val="00B36EEE"/>
    <w:rsid w:val="00B4155F"/>
    <w:rsid w:val="00B41687"/>
    <w:rsid w:val="00B444E6"/>
    <w:rsid w:val="00B44F00"/>
    <w:rsid w:val="00B45705"/>
    <w:rsid w:val="00B45D0E"/>
    <w:rsid w:val="00B461BC"/>
    <w:rsid w:val="00B46809"/>
    <w:rsid w:val="00B52011"/>
    <w:rsid w:val="00B53EFF"/>
    <w:rsid w:val="00B543D6"/>
    <w:rsid w:val="00B54AFA"/>
    <w:rsid w:val="00B57210"/>
    <w:rsid w:val="00B62376"/>
    <w:rsid w:val="00B6352A"/>
    <w:rsid w:val="00B63CC5"/>
    <w:rsid w:val="00B63F17"/>
    <w:rsid w:val="00B63FEC"/>
    <w:rsid w:val="00B66532"/>
    <w:rsid w:val="00B67112"/>
    <w:rsid w:val="00B6712A"/>
    <w:rsid w:val="00B671A4"/>
    <w:rsid w:val="00B672E1"/>
    <w:rsid w:val="00B674CE"/>
    <w:rsid w:val="00B67EF8"/>
    <w:rsid w:val="00B70353"/>
    <w:rsid w:val="00B7214B"/>
    <w:rsid w:val="00B73B19"/>
    <w:rsid w:val="00B77244"/>
    <w:rsid w:val="00B804E8"/>
    <w:rsid w:val="00B815D8"/>
    <w:rsid w:val="00B84E48"/>
    <w:rsid w:val="00B85880"/>
    <w:rsid w:val="00B86A1E"/>
    <w:rsid w:val="00B90D45"/>
    <w:rsid w:val="00B90E50"/>
    <w:rsid w:val="00B92312"/>
    <w:rsid w:val="00B92EEB"/>
    <w:rsid w:val="00B92F59"/>
    <w:rsid w:val="00B9316A"/>
    <w:rsid w:val="00B9387D"/>
    <w:rsid w:val="00B93FF4"/>
    <w:rsid w:val="00B940BA"/>
    <w:rsid w:val="00B94119"/>
    <w:rsid w:val="00B944C2"/>
    <w:rsid w:val="00B94D16"/>
    <w:rsid w:val="00B96621"/>
    <w:rsid w:val="00B974D0"/>
    <w:rsid w:val="00B97936"/>
    <w:rsid w:val="00BA00EF"/>
    <w:rsid w:val="00BA2512"/>
    <w:rsid w:val="00BA4024"/>
    <w:rsid w:val="00BA6455"/>
    <w:rsid w:val="00BB135C"/>
    <w:rsid w:val="00BB2F49"/>
    <w:rsid w:val="00BB47BC"/>
    <w:rsid w:val="00BB5020"/>
    <w:rsid w:val="00BB63F2"/>
    <w:rsid w:val="00BB7206"/>
    <w:rsid w:val="00BB74A3"/>
    <w:rsid w:val="00BC0CB1"/>
    <w:rsid w:val="00BC12FF"/>
    <w:rsid w:val="00BC1333"/>
    <w:rsid w:val="00BC1774"/>
    <w:rsid w:val="00BC1F1A"/>
    <w:rsid w:val="00BC206C"/>
    <w:rsid w:val="00BC232A"/>
    <w:rsid w:val="00BC2855"/>
    <w:rsid w:val="00BC3236"/>
    <w:rsid w:val="00BC431A"/>
    <w:rsid w:val="00BC5831"/>
    <w:rsid w:val="00BC6D24"/>
    <w:rsid w:val="00BC6D80"/>
    <w:rsid w:val="00BD07B3"/>
    <w:rsid w:val="00BD127F"/>
    <w:rsid w:val="00BD3880"/>
    <w:rsid w:val="00BD3EB8"/>
    <w:rsid w:val="00BE179C"/>
    <w:rsid w:val="00BE52B9"/>
    <w:rsid w:val="00BE7B11"/>
    <w:rsid w:val="00BF42BE"/>
    <w:rsid w:val="00BF5AFA"/>
    <w:rsid w:val="00BF5DDE"/>
    <w:rsid w:val="00BF6A38"/>
    <w:rsid w:val="00BF6AD3"/>
    <w:rsid w:val="00C01926"/>
    <w:rsid w:val="00C01A35"/>
    <w:rsid w:val="00C0257D"/>
    <w:rsid w:val="00C03772"/>
    <w:rsid w:val="00C03CF4"/>
    <w:rsid w:val="00C046BF"/>
    <w:rsid w:val="00C04B54"/>
    <w:rsid w:val="00C04EDA"/>
    <w:rsid w:val="00C052F5"/>
    <w:rsid w:val="00C05741"/>
    <w:rsid w:val="00C06416"/>
    <w:rsid w:val="00C06489"/>
    <w:rsid w:val="00C0698C"/>
    <w:rsid w:val="00C07387"/>
    <w:rsid w:val="00C07621"/>
    <w:rsid w:val="00C119A2"/>
    <w:rsid w:val="00C125E7"/>
    <w:rsid w:val="00C1301D"/>
    <w:rsid w:val="00C144D5"/>
    <w:rsid w:val="00C148A8"/>
    <w:rsid w:val="00C16992"/>
    <w:rsid w:val="00C235FE"/>
    <w:rsid w:val="00C25F3D"/>
    <w:rsid w:val="00C26E6E"/>
    <w:rsid w:val="00C318EC"/>
    <w:rsid w:val="00C3574A"/>
    <w:rsid w:val="00C36E6B"/>
    <w:rsid w:val="00C37767"/>
    <w:rsid w:val="00C37B78"/>
    <w:rsid w:val="00C40B61"/>
    <w:rsid w:val="00C4249C"/>
    <w:rsid w:val="00C42E4C"/>
    <w:rsid w:val="00C46D4C"/>
    <w:rsid w:val="00C47478"/>
    <w:rsid w:val="00C500E3"/>
    <w:rsid w:val="00C529E7"/>
    <w:rsid w:val="00C53F1A"/>
    <w:rsid w:val="00C550B5"/>
    <w:rsid w:val="00C57267"/>
    <w:rsid w:val="00C57988"/>
    <w:rsid w:val="00C611DF"/>
    <w:rsid w:val="00C616FF"/>
    <w:rsid w:val="00C62B63"/>
    <w:rsid w:val="00C64CC9"/>
    <w:rsid w:val="00C66E59"/>
    <w:rsid w:val="00C67613"/>
    <w:rsid w:val="00C67A09"/>
    <w:rsid w:val="00C72B5B"/>
    <w:rsid w:val="00C74F2F"/>
    <w:rsid w:val="00C8028B"/>
    <w:rsid w:val="00C807CF"/>
    <w:rsid w:val="00C81EC4"/>
    <w:rsid w:val="00C830DA"/>
    <w:rsid w:val="00C869F3"/>
    <w:rsid w:val="00C90504"/>
    <w:rsid w:val="00C910AA"/>
    <w:rsid w:val="00C92641"/>
    <w:rsid w:val="00C92D4B"/>
    <w:rsid w:val="00C949F1"/>
    <w:rsid w:val="00C94C4A"/>
    <w:rsid w:val="00CA01BD"/>
    <w:rsid w:val="00CA1156"/>
    <w:rsid w:val="00CA30E2"/>
    <w:rsid w:val="00CA3701"/>
    <w:rsid w:val="00CB253C"/>
    <w:rsid w:val="00CB3FDF"/>
    <w:rsid w:val="00CB42F3"/>
    <w:rsid w:val="00CB46D9"/>
    <w:rsid w:val="00CB6CA6"/>
    <w:rsid w:val="00CC18AC"/>
    <w:rsid w:val="00CC2878"/>
    <w:rsid w:val="00CC2A22"/>
    <w:rsid w:val="00CC2F0C"/>
    <w:rsid w:val="00CC3046"/>
    <w:rsid w:val="00CC52FA"/>
    <w:rsid w:val="00CC5736"/>
    <w:rsid w:val="00CC6D7E"/>
    <w:rsid w:val="00CD109F"/>
    <w:rsid w:val="00CD1EF4"/>
    <w:rsid w:val="00CD27C3"/>
    <w:rsid w:val="00CD5524"/>
    <w:rsid w:val="00CD57B3"/>
    <w:rsid w:val="00CD7389"/>
    <w:rsid w:val="00CD7749"/>
    <w:rsid w:val="00CD7D5D"/>
    <w:rsid w:val="00CE1238"/>
    <w:rsid w:val="00CE13F3"/>
    <w:rsid w:val="00CE2E3E"/>
    <w:rsid w:val="00CE2F9F"/>
    <w:rsid w:val="00CE4FA5"/>
    <w:rsid w:val="00CE6C97"/>
    <w:rsid w:val="00CF0621"/>
    <w:rsid w:val="00CF0FC4"/>
    <w:rsid w:val="00CF1D0B"/>
    <w:rsid w:val="00CF6932"/>
    <w:rsid w:val="00CF6E99"/>
    <w:rsid w:val="00CF71E7"/>
    <w:rsid w:val="00D00FE5"/>
    <w:rsid w:val="00D013C4"/>
    <w:rsid w:val="00D01AC6"/>
    <w:rsid w:val="00D01FE3"/>
    <w:rsid w:val="00D0381E"/>
    <w:rsid w:val="00D0442B"/>
    <w:rsid w:val="00D05093"/>
    <w:rsid w:val="00D06AF0"/>
    <w:rsid w:val="00D06CA3"/>
    <w:rsid w:val="00D07707"/>
    <w:rsid w:val="00D07F46"/>
    <w:rsid w:val="00D1380B"/>
    <w:rsid w:val="00D13E72"/>
    <w:rsid w:val="00D14194"/>
    <w:rsid w:val="00D14847"/>
    <w:rsid w:val="00D15B73"/>
    <w:rsid w:val="00D16046"/>
    <w:rsid w:val="00D170E5"/>
    <w:rsid w:val="00D20F70"/>
    <w:rsid w:val="00D211E8"/>
    <w:rsid w:val="00D22AF4"/>
    <w:rsid w:val="00D23DBD"/>
    <w:rsid w:val="00D25137"/>
    <w:rsid w:val="00D25E29"/>
    <w:rsid w:val="00D26BCF"/>
    <w:rsid w:val="00D26F02"/>
    <w:rsid w:val="00D278E3"/>
    <w:rsid w:val="00D27B5A"/>
    <w:rsid w:val="00D30863"/>
    <w:rsid w:val="00D3338F"/>
    <w:rsid w:val="00D34FC8"/>
    <w:rsid w:val="00D37F2F"/>
    <w:rsid w:val="00D415B9"/>
    <w:rsid w:val="00D41734"/>
    <w:rsid w:val="00D4616F"/>
    <w:rsid w:val="00D461E7"/>
    <w:rsid w:val="00D462A9"/>
    <w:rsid w:val="00D474FB"/>
    <w:rsid w:val="00D528E8"/>
    <w:rsid w:val="00D534D4"/>
    <w:rsid w:val="00D543C3"/>
    <w:rsid w:val="00D55E97"/>
    <w:rsid w:val="00D56DFA"/>
    <w:rsid w:val="00D60817"/>
    <w:rsid w:val="00D610C5"/>
    <w:rsid w:val="00D6110A"/>
    <w:rsid w:val="00D648B7"/>
    <w:rsid w:val="00D66665"/>
    <w:rsid w:val="00D668F7"/>
    <w:rsid w:val="00D702C2"/>
    <w:rsid w:val="00D7041C"/>
    <w:rsid w:val="00D70522"/>
    <w:rsid w:val="00D70E4B"/>
    <w:rsid w:val="00D720C4"/>
    <w:rsid w:val="00D739FA"/>
    <w:rsid w:val="00D7518A"/>
    <w:rsid w:val="00D771D0"/>
    <w:rsid w:val="00D778F3"/>
    <w:rsid w:val="00D77921"/>
    <w:rsid w:val="00D779B3"/>
    <w:rsid w:val="00D82CCF"/>
    <w:rsid w:val="00D830C4"/>
    <w:rsid w:val="00D835CF"/>
    <w:rsid w:val="00D865AD"/>
    <w:rsid w:val="00D86697"/>
    <w:rsid w:val="00D87D4E"/>
    <w:rsid w:val="00D9188B"/>
    <w:rsid w:val="00D92802"/>
    <w:rsid w:val="00D9646A"/>
    <w:rsid w:val="00D96A0A"/>
    <w:rsid w:val="00D9787F"/>
    <w:rsid w:val="00DA0232"/>
    <w:rsid w:val="00DA176F"/>
    <w:rsid w:val="00DA26FB"/>
    <w:rsid w:val="00DA36BE"/>
    <w:rsid w:val="00DA40A6"/>
    <w:rsid w:val="00DA4B53"/>
    <w:rsid w:val="00DB0C97"/>
    <w:rsid w:val="00DB131C"/>
    <w:rsid w:val="00DB4779"/>
    <w:rsid w:val="00DB5517"/>
    <w:rsid w:val="00DB6B24"/>
    <w:rsid w:val="00DB6C3D"/>
    <w:rsid w:val="00DC1E53"/>
    <w:rsid w:val="00DC5ACF"/>
    <w:rsid w:val="00DC7D96"/>
    <w:rsid w:val="00DD125C"/>
    <w:rsid w:val="00DD1DB6"/>
    <w:rsid w:val="00DD2F45"/>
    <w:rsid w:val="00DD3573"/>
    <w:rsid w:val="00DD5321"/>
    <w:rsid w:val="00DD5706"/>
    <w:rsid w:val="00DD67D2"/>
    <w:rsid w:val="00DD688F"/>
    <w:rsid w:val="00DD7468"/>
    <w:rsid w:val="00DD7DE1"/>
    <w:rsid w:val="00DE0763"/>
    <w:rsid w:val="00DE0A1F"/>
    <w:rsid w:val="00DE25E9"/>
    <w:rsid w:val="00DE3365"/>
    <w:rsid w:val="00DE6918"/>
    <w:rsid w:val="00DE6A1D"/>
    <w:rsid w:val="00DE71D3"/>
    <w:rsid w:val="00DE72CF"/>
    <w:rsid w:val="00DE748D"/>
    <w:rsid w:val="00DE75DD"/>
    <w:rsid w:val="00DE7F7D"/>
    <w:rsid w:val="00DF08A0"/>
    <w:rsid w:val="00DF22F1"/>
    <w:rsid w:val="00DF4A85"/>
    <w:rsid w:val="00DF5F7B"/>
    <w:rsid w:val="00DF61B0"/>
    <w:rsid w:val="00DF7887"/>
    <w:rsid w:val="00E00134"/>
    <w:rsid w:val="00E02B10"/>
    <w:rsid w:val="00E03C78"/>
    <w:rsid w:val="00E04AB4"/>
    <w:rsid w:val="00E134F7"/>
    <w:rsid w:val="00E13BEF"/>
    <w:rsid w:val="00E15322"/>
    <w:rsid w:val="00E153B4"/>
    <w:rsid w:val="00E1683A"/>
    <w:rsid w:val="00E17A99"/>
    <w:rsid w:val="00E206EB"/>
    <w:rsid w:val="00E21D4C"/>
    <w:rsid w:val="00E220E9"/>
    <w:rsid w:val="00E22118"/>
    <w:rsid w:val="00E23474"/>
    <w:rsid w:val="00E24052"/>
    <w:rsid w:val="00E247A4"/>
    <w:rsid w:val="00E25182"/>
    <w:rsid w:val="00E273C4"/>
    <w:rsid w:val="00E31B8C"/>
    <w:rsid w:val="00E33BF6"/>
    <w:rsid w:val="00E35071"/>
    <w:rsid w:val="00E37494"/>
    <w:rsid w:val="00E40CB2"/>
    <w:rsid w:val="00E41DD7"/>
    <w:rsid w:val="00E42FD5"/>
    <w:rsid w:val="00E464C3"/>
    <w:rsid w:val="00E4707D"/>
    <w:rsid w:val="00E474EC"/>
    <w:rsid w:val="00E477B8"/>
    <w:rsid w:val="00E47EBF"/>
    <w:rsid w:val="00E47EC5"/>
    <w:rsid w:val="00E55348"/>
    <w:rsid w:val="00E56601"/>
    <w:rsid w:val="00E62D89"/>
    <w:rsid w:val="00E636B9"/>
    <w:rsid w:val="00E63778"/>
    <w:rsid w:val="00E647E9"/>
    <w:rsid w:val="00E671CE"/>
    <w:rsid w:val="00E679FD"/>
    <w:rsid w:val="00E70760"/>
    <w:rsid w:val="00E72518"/>
    <w:rsid w:val="00E72E84"/>
    <w:rsid w:val="00E738D2"/>
    <w:rsid w:val="00E73ED9"/>
    <w:rsid w:val="00E75E82"/>
    <w:rsid w:val="00E8031C"/>
    <w:rsid w:val="00E858E8"/>
    <w:rsid w:val="00E906B3"/>
    <w:rsid w:val="00E91542"/>
    <w:rsid w:val="00E923B6"/>
    <w:rsid w:val="00E9253C"/>
    <w:rsid w:val="00E92CB5"/>
    <w:rsid w:val="00E92D30"/>
    <w:rsid w:val="00E9335B"/>
    <w:rsid w:val="00E948AA"/>
    <w:rsid w:val="00E95A78"/>
    <w:rsid w:val="00E95C67"/>
    <w:rsid w:val="00E97713"/>
    <w:rsid w:val="00EA06CF"/>
    <w:rsid w:val="00EA19EE"/>
    <w:rsid w:val="00EA1FB2"/>
    <w:rsid w:val="00EA3715"/>
    <w:rsid w:val="00EA49A5"/>
    <w:rsid w:val="00EA5EC5"/>
    <w:rsid w:val="00EA5F86"/>
    <w:rsid w:val="00EA7DDD"/>
    <w:rsid w:val="00EB0B2C"/>
    <w:rsid w:val="00EB0D96"/>
    <w:rsid w:val="00EB323A"/>
    <w:rsid w:val="00EB3CF0"/>
    <w:rsid w:val="00EB45B5"/>
    <w:rsid w:val="00EB5E57"/>
    <w:rsid w:val="00EB5EE9"/>
    <w:rsid w:val="00EB61DB"/>
    <w:rsid w:val="00EB6461"/>
    <w:rsid w:val="00EB7249"/>
    <w:rsid w:val="00EC2408"/>
    <w:rsid w:val="00EC619F"/>
    <w:rsid w:val="00EC61E0"/>
    <w:rsid w:val="00EC7031"/>
    <w:rsid w:val="00ED1AD0"/>
    <w:rsid w:val="00ED290F"/>
    <w:rsid w:val="00ED2EAC"/>
    <w:rsid w:val="00ED33FA"/>
    <w:rsid w:val="00ED4AFD"/>
    <w:rsid w:val="00ED50BF"/>
    <w:rsid w:val="00ED5CA5"/>
    <w:rsid w:val="00ED6776"/>
    <w:rsid w:val="00ED76E0"/>
    <w:rsid w:val="00EE00FB"/>
    <w:rsid w:val="00EE155F"/>
    <w:rsid w:val="00EE2B4D"/>
    <w:rsid w:val="00EE2E36"/>
    <w:rsid w:val="00EE3C8F"/>
    <w:rsid w:val="00EE41FF"/>
    <w:rsid w:val="00EE4DFD"/>
    <w:rsid w:val="00EE4FBE"/>
    <w:rsid w:val="00EE5537"/>
    <w:rsid w:val="00EE58F5"/>
    <w:rsid w:val="00EE7F75"/>
    <w:rsid w:val="00EF0DEB"/>
    <w:rsid w:val="00EF1270"/>
    <w:rsid w:val="00EF269D"/>
    <w:rsid w:val="00EF3BDC"/>
    <w:rsid w:val="00EF4422"/>
    <w:rsid w:val="00EF4F89"/>
    <w:rsid w:val="00EF7C72"/>
    <w:rsid w:val="00F01E86"/>
    <w:rsid w:val="00F02ED3"/>
    <w:rsid w:val="00F038A1"/>
    <w:rsid w:val="00F038E7"/>
    <w:rsid w:val="00F06E4E"/>
    <w:rsid w:val="00F12303"/>
    <w:rsid w:val="00F12904"/>
    <w:rsid w:val="00F1294F"/>
    <w:rsid w:val="00F1307C"/>
    <w:rsid w:val="00F13319"/>
    <w:rsid w:val="00F16531"/>
    <w:rsid w:val="00F166F8"/>
    <w:rsid w:val="00F1788E"/>
    <w:rsid w:val="00F2167D"/>
    <w:rsid w:val="00F22795"/>
    <w:rsid w:val="00F238E0"/>
    <w:rsid w:val="00F30091"/>
    <w:rsid w:val="00F309E8"/>
    <w:rsid w:val="00F32D38"/>
    <w:rsid w:val="00F349EB"/>
    <w:rsid w:val="00F356E7"/>
    <w:rsid w:val="00F35F1E"/>
    <w:rsid w:val="00F37378"/>
    <w:rsid w:val="00F37FE7"/>
    <w:rsid w:val="00F40124"/>
    <w:rsid w:val="00F426D6"/>
    <w:rsid w:val="00F43287"/>
    <w:rsid w:val="00F455B0"/>
    <w:rsid w:val="00F4698B"/>
    <w:rsid w:val="00F46CE9"/>
    <w:rsid w:val="00F51E01"/>
    <w:rsid w:val="00F528C5"/>
    <w:rsid w:val="00F5304E"/>
    <w:rsid w:val="00F53C73"/>
    <w:rsid w:val="00F55709"/>
    <w:rsid w:val="00F5649A"/>
    <w:rsid w:val="00F61F4B"/>
    <w:rsid w:val="00F620E6"/>
    <w:rsid w:val="00F63DFF"/>
    <w:rsid w:val="00F65368"/>
    <w:rsid w:val="00F677A0"/>
    <w:rsid w:val="00F67DC5"/>
    <w:rsid w:val="00F704CE"/>
    <w:rsid w:val="00F7121D"/>
    <w:rsid w:val="00F74454"/>
    <w:rsid w:val="00F751BA"/>
    <w:rsid w:val="00F75242"/>
    <w:rsid w:val="00F77BAE"/>
    <w:rsid w:val="00F77D71"/>
    <w:rsid w:val="00F80ADE"/>
    <w:rsid w:val="00F811E9"/>
    <w:rsid w:val="00F82342"/>
    <w:rsid w:val="00F823F8"/>
    <w:rsid w:val="00F846B4"/>
    <w:rsid w:val="00F85FB3"/>
    <w:rsid w:val="00F86F8B"/>
    <w:rsid w:val="00F86FD4"/>
    <w:rsid w:val="00F877DB"/>
    <w:rsid w:val="00F911C9"/>
    <w:rsid w:val="00F916C7"/>
    <w:rsid w:val="00F916E8"/>
    <w:rsid w:val="00F91AE4"/>
    <w:rsid w:val="00F93772"/>
    <w:rsid w:val="00F93C8B"/>
    <w:rsid w:val="00F94B7C"/>
    <w:rsid w:val="00F94FD2"/>
    <w:rsid w:val="00F959DD"/>
    <w:rsid w:val="00F960D5"/>
    <w:rsid w:val="00F976A9"/>
    <w:rsid w:val="00F978CA"/>
    <w:rsid w:val="00FA0128"/>
    <w:rsid w:val="00FA084B"/>
    <w:rsid w:val="00FA11D4"/>
    <w:rsid w:val="00FA25B9"/>
    <w:rsid w:val="00FA6C68"/>
    <w:rsid w:val="00FA7A86"/>
    <w:rsid w:val="00FB1231"/>
    <w:rsid w:val="00FB2722"/>
    <w:rsid w:val="00FB2FF1"/>
    <w:rsid w:val="00FB389E"/>
    <w:rsid w:val="00FB3991"/>
    <w:rsid w:val="00FB5219"/>
    <w:rsid w:val="00FB5D75"/>
    <w:rsid w:val="00FB61BE"/>
    <w:rsid w:val="00FB6E24"/>
    <w:rsid w:val="00FC1898"/>
    <w:rsid w:val="00FC1C5C"/>
    <w:rsid w:val="00FC1CA3"/>
    <w:rsid w:val="00FC64F7"/>
    <w:rsid w:val="00FD18BA"/>
    <w:rsid w:val="00FD2B32"/>
    <w:rsid w:val="00FD43AC"/>
    <w:rsid w:val="00FD5427"/>
    <w:rsid w:val="00FD598A"/>
    <w:rsid w:val="00FD7A8D"/>
    <w:rsid w:val="00FE17E2"/>
    <w:rsid w:val="00FE201F"/>
    <w:rsid w:val="00FE4492"/>
    <w:rsid w:val="00FE5858"/>
    <w:rsid w:val="00FE71F4"/>
    <w:rsid w:val="00FF0301"/>
    <w:rsid w:val="00FF0ABE"/>
    <w:rsid w:val="00FF27ED"/>
    <w:rsid w:val="00FF2C62"/>
    <w:rsid w:val="00FF65C2"/>
    <w:rsid w:val="00FF6E4B"/>
    <w:rsid w:val="00FF72FE"/>
    <w:rsid w:val="00FF7E83"/>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link w:val="FootnoteTextChar"/>
    <w:uiPriority w:val="99"/>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uiPriority w:val="99"/>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basedOn w:val="DefaultParagraphFont"/>
    <w:semiHidden/>
    <w:unhideWhenUsed/>
    <w:rsid w:val="002D66DD"/>
    <w:rPr>
      <w:sz w:val="16"/>
      <w:szCs w:val="16"/>
    </w:rPr>
  </w:style>
  <w:style w:type="paragraph" w:styleId="CommentText">
    <w:name w:val="annotation text"/>
    <w:basedOn w:val="Normal"/>
    <w:link w:val="CommentTextChar"/>
    <w:semiHidden/>
    <w:unhideWhenUsed/>
    <w:rsid w:val="002D66DD"/>
    <w:rPr>
      <w:sz w:val="20"/>
    </w:rPr>
  </w:style>
  <w:style w:type="character" w:customStyle="1" w:styleId="CommentTextChar">
    <w:name w:val="Comment Text Char"/>
    <w:basedOn w:val="DefaultParagraphFont"/>
    <w:link w:val="CommentText"/>
    <w:semiHidden/>
    <w:rsid w:val="002D66DD"/>
    <w:rPr>
      <w:rFonts w:ascii="Arial" w:hAnsi="Arial"/>
      <w:lang w:eastAsia="en-US"/>
    </w:rPr>
  </w:style>
  <w:style w:type="paragraph" w:styleId="CommentSubject">
    <w:name w:val="annotation subject"/>
    <w:basedOn w:val="CommentText"/>
    <w:next w:val="CommentText"/>
    <w:link w:val="CommentSubjectChar"/>
    <w:semiHidden/>
    <w:unhideWhenUsed/>
    <w:rsid w:val="002D66DD"/>
    <w:rPr>
      <w:b/>
      <w:bCs/>
    </w:rPr>
  </w:style>
  <w:style w:type="character" w:customStyle="1" w:styleId="CommentSubjectChar">
    <w:name w:val="Comment Subject Char"/>
    <w:basedOn w:val="CommentTextChar"/>
    <w:link w:val="CommentSubject"/>
    <w:semiHidden/>
    <w:rsid w:val="002D66DD"/>
    <w:rPr>
      <w:rFonts w:ascii="Arial" w:hAnsi="Arial"/>
      <w:b/>
      <w:bCs/>
      <w:lang w:eastAsia="en-US"/>
    </w:rPr>
  </w:style>
  <w:style w:type="character" w:customStyle="1" w:styleId="FootnoteTextChar">
    <w:name w:val="Footnote Text Char"/>
    <w:basedOn w:val="DefaultParagraphFont"/>
    <w:link w:val="FootnoteText"/>
    <w:uiPriority w:val="99"/>
    <w:semiHidden/>
    <w:rsid w:val="00F35F1E"/>
    <w:rPr>
      <w:lang w:eastAsia="en-US"/>
    </w:rPr>
  </w:style>
  <w:style w:type="character" w:styleId="Emphasis">
    <w:name w:val="Emphasis"/>
    <w:basedOn w:val="DefaultParagraphFont"/>
    <w:uiPriority w:val="20"/>
    <w:qFormat/>
    <w:rsid w:val="004E33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747336098">
      <w:bodyDiv w:val="1"/>
      <w:marLeft w:val="0"/>
      <w:marRight w:val="0"/>
      <w:marTop w:val="0"/>
      <w:marBottom w:val="0"/>
      <w:divBdr>
        <w:top w:val="none" w:sz="0" w:space="0" w:color="auto"/>
        <w:left w:val="none" w:sz="0" w:space="0" w:color="auto"/>
        <w:bottom w:val="none" w:sz="0" w:space="0" w:color="auto"/>
        <w:right w:val="none" w:sz="0" w:space="0" w:color="auto"/>
      </w:divBdr>
    </w:div>
    <w:div w:id="1947692460">
      <w:bodyDiv w:val="1"/>
      <w:marLeft w:val="0"/>
      <w:marRight w:val="0"/>
      <w:marTop w:val="0"/>
      <w:marBottom w:val="0"/>
      <w:divBdr>
        <w:top w:val="none" w:sz="0" w:space="0" w:color="auto"/>
        <w:left w:val="none" w:sz="0" w:space="0" w:color="auto"/>
        <w:bottom w:val="none" w:sz="0" w:space="0" w:color="auto"/>
        <w:right w:val="none" w:sz="0" w:space="0" w:color="auto"/>
      </w:divBdr>
    </w:div>
    <w:div w:id="20044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cefb6ece8964c3a943aa73798a96817e">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8cd6c1a1d42fa7e18ab3b540fce25066"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AA986443-F3CB-477E-9B2D-13ABB5E30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07B0CB4C-A6E0-48AB-91C5-3FF368E1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4458</Words>
  <Characters>23143</Characters>
  <Application>Microsoft Office Word</Application>
  <DocSecurity>4</DocSecurity>
  <Lines>192</Lines>
  <Paragraphs>55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Cabinet Report Template March 2018</vt:lpstr>
      <vt:lpstr>    </vt:lpstr>
      <vt:lpstr>    Section 2 – Report</vt:lpstr>
      <vt:lpstr>        Options considered  </vt:lpstr>
      <vt:lpstr>        Background</vt:lpstr>
      <vt:lpstr>    The Real Living Wage and the Living Wage Foundation</vt:lpstr>
      <vt:lpstr>    Why a change is needed</vt:lpstr>
      <vt:lpstr>        Current Position at Harrow</vt:lpstr>
      <vt:lpstr>    As part of our Council’s vision to creating a fairer future, we have since 2013 </vt:lpstr>
      <vt:lpstr>    The uplift in the LLW takes place in November of each year and the Council imple</vt:lpstr>
      <vt:lpstr>    Implications of the Recommendation</vt:lpstr>
      <vt:lpstr>        Risk Management Implications</vt:lpstr>
      <vt:lpstr>        Procurement Implications</vt:lpstr>
      <vt:lpstr>        Legal Implications</vt:lpstr>
      <vt:lpstr>        Financial Implications</vt:lpstr>
      <vt:lpstr>        Equalities implications / Public Sector Equality Duty  </vt:lpstr>
      <vt:lpstr>        Council Priorities</vt:lpstr>
      <vt:lpstr>    Section 3 - Statutory Officer Clearance</vt:lpstr>
      <vt:lpstr>    Date:</vt:lpstr>
      <vt:lpstr>    Mandatory Checks</vt:lpstr>
      <vt:lpstr>        Ward Councillors notified:  YES*/ NO*, as it impacts on all Wards </vt:lpstr>
      <vt:lpstr>        EqIA carried out:  YES*/ NO*</vt:lpstr>
      <vt:lpstr>        EqIA cleared by:  </vt:lpstr>
      <vt:lpstr>    Section 4 - Contact Details and Background Papers</vt:lpstr>
    </vt:vector>
  </TitlesOfParts>
  <Company>Harrow Council</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2</cp:revision>
  <cp:lastPrinted>2014-10-31T16:34:00Z</cp:lastPrinted>
  <dcterms:created xsi:type="dcterms:W3CDTF">2021-11-30T09:26:00Z</dcterms:created>
  <dcterms:modified xsi:type="dcterms:W3CDTF">2021-11-30T09:26:00Z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